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711C2B" w:rsidR="00012AB1" w:rsidP="00D25041" w:rsidRDefault="00012AB1" w14:paraId="569DB155" w14:textId="253E3FF5">
      <w:pPr>
        <w:pStyle w:val="DESNZTitle"/>
        <w:spacing w:line="259" w:lineRule="auto"/>
        <w:rPr>
          <w:highlight w:val="yellow"/>
        </w:rPr>
      </w:pPr>
      <w:r w:rsidRPr="6F1D8013">
        <w:rPr>
          <w:rFonts w:ascii="Aptos" w:hAnsi="Aptos"/>
        </w:rPr>
        <w:t>Facility Energy and Carbon Savings Assessment Tool: Completion Guidance</w:t>
      </w:r>
      <w:r w:rsidRPr="6F1D8013" w:rsidR="006A3F64">
        <w:rPr>
          <w:rFonts w:ascii="Aptos" w:hAnsi="Aptos"/>
        </w:rPr>
        <w:t xml:space="preserve"> </w:t>
      </w:r>
      <w:r w:rsidRPr="6F1D8013" w:rsidR="7A039CB3">
        <w:rPr>
          <w:rFonts w:ascii="Aptos" w:hAnsi="Aptos"/>
        </w:rPr>
        <w:t xml:space="preserve">for Facility </w:t>
      </w:r>
      <w:r w:rsidR="00B45C86">
        <w:rPr>
          <w:rFonts w:ascii="Aptos" w:hAnsi="Aptos"/>
        </w:rPr>
        <w:t>Operators</w:t>
      </w:r>
      <w:r w:rsidRPr="6F1D8013" w:rsidR="006A3F64">
        <w:rPr>
          <w:rFonts w:ascii="Aptos" w:hAnsi="Aptos"/>
        </w:rPr>
        <w:t xml:space="preserve"> </w:t>
      </w:r>
    </w:p>
    <w:p w:rsidRPr="00711C2B" w:rsidR="00012AB1" w:rsidP="00012AB1" w:rsidRDefault="00012AB1" w14:paraId="3DC4698A" w14:textId="77777777">
      <w:pPr>
        <w:pStyle w:val="DESNZResearchNo"/>
        <w:rPr>
          <w:rFonts w:ascii="Aptos" w:hAnsi="Aptos"/>
        </w:rPr>
        <w:sectPr w:rsidRPr="00711C2B" w:rsidR="00012AB1" w:rsidSect="00012AB1">
          <w:headerReference w:type="default" r:id="rId12"/>
          <w:footerReference w:type="default" r:id="rId13"/>
          <w:pgSz w:w="11906" w:h="16838" w:orient="portrait" w:code="9"/>
          <w:pgMar w:top="1418" w:right="1134" w:bottom="1418" w:left="1077" w:header="720" w:footer="868" w:gutter="0"/>
          <w:cols w:space="708"/>
          <w:vAlign w:val="center"/>
          <w:docGrid w:linePitch="360"/>
        </w:sectPr>
      </w:pPr>
      <w:r w:rsidRPr="00711C2B">
        <w:rPr>
          <w:rFonts w:ascii="Aptos" w:hAnsi="Aptos"/>
        </w:rPr>
        <w:br/>
      </w:r>
      <w:r w:rsidRPr="00711C2B">
        <w:rPr>
          <w:rFonts w:ascii="Aptos" w:hAnsi="Aptos"/>
        </w:rPr>
        <w:br/>
      </w:r>
    </w:p>
    <w:p w:rsidRPr="00711C2B" w:rsidR="00012AB1" w:rsidP="00012AB1" w:rsidRDefault="00012AB1" w14:paraId="3311AF39" w14:textId="77777777"/>
    <w:p w:rsidRPr="00711C2B" w:rsidR="00012AB1" w:rsidP="00012AB1" w:rsidRDefault="00012AB1" w14:paraId="487BDA40" w14:textId="77777777"/>
    <w:p w:rsidRPr="00711C2B" w:rsidR="00012AB1" w:rsidP="00012AB1" w:rsidRDefault="00012AB1" w14:paraId="52709A19" w14:textId="77777777"/>
    <w:p w:rsidRPr="00711C2B" w:rsidR="00012AB1" w:rsidP="00012AB1" w:rsidRDefault="00012AB1" w14:paraId="44D48A8C" w14:textId="77777777"/>
    <w:p w:rsidRPr="00711C2B" w:rsidR="00012AB1" w:rsidP="00012AB1" w:rsidRDefault="00012AB1" w14:paraId="28D3F20E" w14:textId="77777777"/>
    <w:p w:rsidRPr="00711C2B" w:rsidR="00012AB1" w:rsidP="00012AB1" w:rsidRDefault="00012AB1" w14:paraId="65F9CAB7" w14:textId="77777777"/>
    <w:p w:rsidRPr="00711C2B" w:rsidR="00012AB1" w:rsidP="00012AB1" w:rsidRDefault="00012AB1" w14:paraId="3AE2C132" w14:textId="77777777"/>
    <w:p w:rsidRPr="00711C2B" w:rsidR="00012AB1" w:rsidP="00012AB1" w:rsidRDefault="00012AB1" w14:paraId="281A7887" w14:textId="77777777"/>
    <w:p w:rsidRPr="00711C2B" w:rsidR="00012AB1" w:rsidP="00012AB1" w:rsidRDefault="00012AB1" w14:paraId="1A8E92F6" w14:textId="77777777"/>
    <w:p w:rsidRPr="00711C2B" w:rsidR="00012AB1" w:rsidP="00012AB1" w:rsidRDefault="00012AB1" w14:paraId="6AA89885" w14:textId="77777777"/>
    <w:p w:rsidRPr="00711C2B" w:rsidR="00012AB1" w:rsidP="00012AB1" w:rsidRDefault="00012AB1" w14:paraId="60F00626" w14:textId="77777777"/>
    <w:p w:rsidRPr="00711C2B" w:rsidR="00012AB1" w:rsidP="00012AB1" w:rsidRDefault="00012AB1" w14:paraId="371387AF" w14:textId="7CB40940">
      <w:pPr>
        <w:pStyle w:val="Copyrightstatement"/>
        <w:rPr>
          <w:rFonts w:ascii="Aptos" w:hAnsi="Aptos"/>
        </w:rPr>
        <w:sectPr w:rsidRPr="00711C2B" w:rsidR="00012AB1" w:rsidSect="00012AB1">
          <w:headerReference w:type="default" r:id="rId14"/>
          <w:footerReference w:type="default" r:id="rId15"/>
          <w:pgSz w:w="11906" w:h="16838" w:orient="portrait" w:code="9"/>
          <w:pgMar w:top="2835" w:right="907" w:bottom="907" w:left="907" w:header="686" w:footer="266" w:gutter="0"/>
          <w:cols w:space="708"/>
          <w:vAlign w:val="bottom"/>
          <w:docGrid w:linePitch="360"/>
        </w:sectPr>
      </w:pPr>
    </w:p>
    <w:p w:rsidRPr="00711C2B" w:rsidR="00012AB1" w:rsidP="00012AB1" w:rsidRDefault="00012AB1" w14:paraId="03491FB1" w14:textId="04AF3149">
      <w:pPr>
        <w:pStyle w:val="Contents"/>
        <w:rPr>
          <w:rFonts w:ascii="Aptos" w:hAnsi="Aptos"/>
        </w:rPr>
      </w:pPr>
      <w:bookmarkStart w:name="_Toc190180798" w:id="0"/>
      <w:bookmarkStart w:name="_Toc190180906" w:id="1"/>
      <w:bookmarkStart w:name="_Toc190181038" w:id="2"/>
      <w:r w:rsidRPr="00711C2B">
        <w:rPr>
          <w:rFonts w:ascii="Aptos" w:hAnsi="Aptos"/>
        </w:rPr>
        <w:t>Contents</w:t>
      </w:r>
      <w:bookmarkEnd w:id="0"/>
      <w:bookmarkEnd w:id="1"/>
      <w:bookmarkEnd w:id="2"/>
    </w:p>
    <w:p w:rsidR="003F764D" w:rsidP="000155C3" w:rsidRDefault="00012AB1" w14:paraId="08C93281" w14:textId="04E23E65">
      <w:pPr>
        <w:pStyle w:val="TOC1"/>
        <w:jc w:val="both"/>
        <w:rPr>
          <w:rFonts w:asciiTheme="minorHAnsi" w:hAnsiTheme="minorHAnsi" w:eastAsiaTheme="minorEastAsia"/>
          <w:noProof/>
          <w:color w:val="auto"/>
          <w:kern w:val="2"/>
          <w:szCs w:val="24"/>
          <w:lang w:eastAsia="en-GB"/>
          <w14:ligatures w14:val="standardContextual"/>
        </w:rPr>
      </w:pPr>
      <w:r>
        <w:rPr>
          <w:rFonts w:ascii="Aptos" w:hAnsi="Aptos"/>
        </w:rPr>
        <w:fldChar w:fldCharType="begin"/>
      </w:r>
      <w:r w:rsidRPr="00711C2B">
        <w:rPr>
          <w:rFonts w:ascii="Aptos" w:hAnsi="Aptos"/>
        </w:rPr>
        <w:instrText xml:space="preserve"> TOC \o "2-3" \h \z \t "Heading 1,1" </w:instrText>
      </w:r>
      <w:r>
        <w:rPr>
          <w:rFonts w:ascii="Aptos" w:hAnsi="Aptos"/>
        </w:rPr>
        <w:fldChar w:fldCharType="separate"/>
      </w:r>
      <w:hyperlink w:history="1" w:anchor="_Toc190700708">
        <w:r w:rsidRPr="00876AC3" w:rsidR="003F764D">
          <w:rPr>
            <w:rStyle w:val="Hyperlink"/>
            <w:rFonts w:ascii="Aptos" w:hAnsi="Aptos"/>
            <w:noProof/>
          </w:rPr>
          <w:t>1.</w:t>
        </w:r>
        <w:r w:rsidR="003F764D">
          <w:rPr>
            <w:rFonts w:asciiTheme="minorHAnsi" w:hAnsiTheme="minorHAnsi" w:eastAsiaTheme="minorEastAsia"/>
            <w:noProof/>
            <w:color w:val="auto"/>
            <w:kern w:val="2"/>
            <w:szCs w:val="24"/>
            <w:lang w:eastAsia="en-GB"/>
            <w14:ligatures w14:val="standardContextual"/>
          </w:rPr>
          <w:tab/>
        </w:r>
        <w:r w:rsidRPr="00876AC3" w:rsidR="003F764D">
          <w:rPr>
            <w:rStyle w:val="Hyperlink"/>
            <w:rFonts w:ascii="Aptos" w:hAnsi="Aptos"/>
            <w:noProof/>
          </w:rPr>
          <w:t>Introduction</w:t>
        </w:r>
        <w:r w:rsidR="003F764D">
          <w:rPr>
            <w:noProof/>
            <w:webHidden/>
          </w:rPr>
          <w:tab/>
        </w:r>
        <w:r w:rsidR="003F764D">
          <w:rPr>
            <w:noProof/>
            <w:webHidden/>
          </w:rPr>
          <w:fldChar w:fldCharType="begin"/>
        </w:r>
        <w:r w:rsidR="003F764D">
          <w:rPr>
            <w:noProof/>
            <w:webHidden/>
          </w:rPr>
          <w:instrText xml:space="preserve"> PAGEREF _Toc190700708 \h </w:instrText>
        </w:r>
        <w:r w:rsidR="003F764D">
          <w:rPr>
            <w:noProof/>
            <w:webHidden/>
          </w:rPr>
        </w:r>
        <w:r w:rsidR="003F764D">
          <w:rPr>
            <w:noProof/>
            <w:webHidden/>
          </w:rPr>
          <w:fldChar w:fldCharType="separate"/>
        </w:r>
        <w:r w:rsidR="000155C3">
          <w:rPr>
            <w:noProof/>
            <w:webHidden/>
          </w:rPr>
          <w:t>4</w:t>
        </w:r>
        <w:r w:rsidR="003F764D">
          <w:rPr>
            <w:noProof/>
            <w:webHidden/>
          </w:rPr>
          <w:fldChar w:fldCharType="end"/>
        </w:r>
      </w:hyperlink>
    </w:p>
    <w:p w:rsidR="003F764D" w:rsidP="000155C3" w:rsidRDefault="003F764D" w14:paraId="29A32CDF" w14:textId="0458E967">
      <w:pPr>
        <w:pStyle w:val="TOC1"/>
        <w:jc w:val="both"/>
        <w:rPr>
          <w:rFonts w:asciiTheme="minorHAnsi" w:hAnsiTheme="minorHAnsi" w:eastAsiaTheme="minorEastAsia"/>
          <w:noProof/>
          <w:color w:val="auto"/>
          <w:kern w:val="2"/>
          <w:szCs w:val="24"/>
          <w:lang w:eastAsia="en-GB"/>
          <w14:ligatures w14:val="standardContextual"/>
        </w:rPr>
      </w:pPr>
      <w:hyperlink w:history="1" w:anchor="_Toc190700709">
        <w:r w:rsidRPr="00876AC3">
          <w:rPr>
            <w:rStyle w:val="Hyperlink"/>
            <w:rFonts w:ascii="Aptos" w:hAnsi="Aptos"/>
            <w:noProof/>
          </w:rPr>
          <w:t>2.</w:t>
        </w:r>
        <w:r>
          <w:rPr>
            <w:rFonts w:asciiTheme="minorHAnsi" w:hAnsiTheme="minorHAnsi" w:eastAsiaTheme="minorEastAsia"/>
            <w:noProof/>
            <w:color w:val="auto"/>
            <w:kern w:val="2"/>
            <w:szCs w:val="24"/>
            <w:lang w:eastAsia="en-GB"/>
            <w14:ligatures w14:val="standardContextual"/>
          </w:rPr>
          <w:tab/>
        </w:r>
        <w:r w:rsidRPr="00876AC3">
          <w:rPr>
            <w:rStyle w:val="Hyperlink"/>
            <w:rFonts w:ascii="Aptos" w:hAnsi="Aptos"/>
            <w:noProof/>
          </w:rPr>
          <w:t>Facility Details and Base Year Energy Consumption</w:t>
        </w:r>
        <w:r>
          <w:rPr>
            <w:noProof/>
            <w:webHidden/>
          </w:rPr>
          <w:tab/>
        </w:r>
        <w:r>
          <w:rPr>
            <w:noProof/>
            <w:webHidden/>
          </w:rPr>
          <w:fldChar w:fldCharType="begin"/>
        </w:r>
        <w:r>
          <w:rPr>
            <w:noProof/>
            <w:webHidden/>
          </w:rPr>
          <w:instrText xml:space="preserve"> PAGEREF _Toc190700709 \h </w:instrText>
        </w:r>
        <w:r>
          <w:rPr>
            <w:noProof/>
            <w:webHidden/>
          </w:rPr>
        </w:r>
        <w:r>
          <w:rPr>
            <w:noProof/>
            <w:webHidden/>
          </w:rPr>
          <w:fldChar w:fldCharType="separate"/>
        </w:r>
        <w:r w:rsidR="000155C3">
          <w:rPr>
            <w:noProof/>
            <w:webHidden/>
          </w:rPr>
          <w:t>6</w:t>
        </w:r>
        <w:r>
          <w:rPr>
            <w:noProof/>
            <w:webHidden/>
          </w:rPr>
          <w:fldChar w:fldCharType="end"/>
        </w:r>
      </w:hyperlink>
    </w:p>
    <w:p w:rsidR="003F764D" w:rsidP="000155C3" w:rsidRDefault="003F764D" w14:paraId="73FD2EB7" w14:textId="61C77466">
      <w:pPr>
        <w:pStyle w:val="TOC2"/>
        <w:tabs>
          <w:tab w:val="left" w:pos="720"/>
        </w:tabs>
        <w:jc w:val="both"/>
        <w:rPr>
          <w:rFonts w:asciiTheme="minorHAnsi" w:hAnsiTheme="minorHAnsi" w:eastAsiaTheme="minorEastAsia"/>
          <w:noProof/>
          <w:color w:val="auto"/>
          <w:kern w:val="2"/>
          <w:szCs w:val="24"/>
          <w:lang w:eastAsia="en-GB"/>
          <w14:ligatures w14:val="standardContextual"/>
        </w:rPr>
      </w:pPr>
      <w:hyperlink w:history="1" w:anchor="_Toc190700710">
        <w:r w:rsidRPr="00876AC3">
          <w:rPr>
            <w:rStyle w:val="Hyperlink"/>
            <w:rFonts w:ascii="Aptos" w:hAnsi="Aptos"/>
            <w:noProof/>
          </w:rPr>
          <w:t>3.</w:t>
        </w:r>
        <w:r>
          <w:rPr>
            <w:rFonts w:asciiTheme="minorHAnsi" w:hAnsiTheme="minorHAnsi" w:eastAsiaTheme="minorEastAsia"/>
            <w:noProof/>
            <w:color w:val="auto"/>
            <w:kern w:val="2"/>
            <w:szCs w:val="24"/>
            <w:lang w:eastAsia="en-GB"/>
            <w14:ligatures w14:val="standardContextual"/>
          </w:rPr>
          <w:tab/>
        </w:r>
        <w:r w:rsidRPr="00876AC3">
          <w:rPr>
            <w:rStyle w:val="Hyperlink"/>
            <w:rFonts w:ascii="Aptos" w:hAnsi="Aptos"/>
            <w:noProof/>
          </w:rPr>
          <w:t>Energy Demand Savings</w:t>
        </w:r>
        <w:r>
          <w:rPr>
            <w:noProof/>
            <w:webHidden/>
          </w:rPr>
          <w:tab/>
        </w:r>
        <w:r>
          <w:rPr>
            <w:noProof/>
            <w:webHidden/>
          </w:rPr>
          <w:fldChar w:fldCharType="begin"/>
        </w:r>
        <w:r>
          <w:rPr>
            <w:noProof/>
            <w:webHidden/>
          </w:rPr>
          <w:instrText xml:space="preserve"> PAGEREF _Toc190700710 \h </w:instrText>
        </w:r>
        <w:r>
          <w:rPr>
            <w:noProof/>
            <w:webHidden/>
          </w:rPr>
        </w:r>
        <w:r>
          <w:rPr>
            <w:noProof/>
            <w:webHidden/>
          </w:rPr>
          <w:fldChar w:fldCharType="separate"/>
        </w:r>
        <w:r w:rsidR="000155C3">
          <w:rPr>
            <w:noProof/>
            <w:webHidden/>
          </w:rPr>
          <w:t>7</w:t>
        </w:r>
        <w:r>
          <w:rPr>
            <w:noProof/>
            <w:webHidden/>
          </w:rPr>
          <w:fldChar w:fldCharType="end"/>
        </w:r>
      </w:hyperlink>
    </w:p>
    <w:p w:rsidR="003F764D" w:rsidP="000155C3" w:rsidRDefault="003F764D" w14:paraId="52F61C2A" w14:textId="1FD750A8">
      <w:pPr>
        <w:pStyle w:val="TOC2"/>
        <w:tabs>
          <w:tab w:val="left" w:pos="720"/>
        </w:tabs>
        <w:jc w:val="both"/>
        <w:rPr>
          <w:rFonts w:asciiTheme="minorHAnsi" w:hAnsiTheme="minorHAnsi" w:eastAsiaTheme="minorEastAsia"/>
          <w:noProof/>
          <w:color w:val="auto"/>
          <w:kern w:val="2"/>
          <w:szCs w:val="24"/>
          <w:lang w:eastAsia="en-GB"/>
          <w14:ligatures w14:val="standardContextual"/>
        </w:rPr>
      </w:pPr>
      <w:hyperlink w:history="1" w:anchor="_Toc190700711">
        <w:r w:rsidRPr="00876AC3">
          <w:rPr>
            <w:rStyle w:val="Hyperlink"/>
            <w:rFonts w:ascii="Aptos" w:hAnsi="Aptos"/>
            <w:noProof/>
          </w:rPr>
          <w:t>4.</w:t>
        </w:r>
        <w:r>
          <w:rPr>
            <w:rFonts w:asciiTheme="minorHAnsi" w:hAnsiTheme="minorHAnsi" w:eastAsiaTheme="minorEastAsia"/>
            <w:noProof/>
            <w:color w:val="auto"/>
            <w:kern w:val="2"/>
            <w:szCs w:val="24"/>
            <w:lang w:eastAsia="en-GB"/>
            <w14:ligatures w14:val="standardContextual"/>
          </w:rPr>
          <w:tab/>
        </w:r>
        <w:r w:rsidRPr="00876AC3">
          <w:rPr>
            <w:rStyle w:val="Hyperlink"/>
            <w:rFonts w:ascii="Aptos" w:hAnsi="Aptos"/>
            <w:noProof/>
          </w:rPr>
          <w:t>Energy Supply Savings</w:t>
        </w:r>
        <w:r>
          <w:rPr>
            <w:noProof/>
            <w:webHidden/>
          </w:rPr>
          <w:tab/>
        </w:r>
        <w:r>
          <w:rPr>
            <w:noProof/>
            <w:webHidden/>
          </w:rPr>
          <w:fldChar w:fldCharType="begin"/>
        </w:r>
        <w:r>
          <w:rPr>
            <w:noProof/>
            <w:webHidden/>
          </w:rPr>
          <w:instrText xml:space="preserve"> PAGEREF _Toc190700711 \h </w:instrText>
        </w:r>
        <w:r>
          <w:rPr>
            <w:noProof/>
            <w:webHidden/>
          </w:rPr>
        </w:r>
        <w:r>
          <w:rPr>
            <w:noProof/>
            <w:webHidden/>
          </w:rPr>
          <w:fldChar w:fldCharType="separate"/>
        </w:r>
        <w:r w:rsidR="000155C3">
          <w:rPr>
            <w:noProof/>
            <w:webHidden/>
          </w:rPr>
          <w:t>10</w:t>
        </w:r>
        <w:r>
          <w:rPr>
            <w:noProof/>
            <w:webHidden/>
          </w:rPr>
          <w:fldChar w:fldCharType="end"/>
        </w:r>
      </w:hyperlink>
    </w:p>
    <w:p w:rsidR="003F764D" w:rsidP="000155C3" w:rsidRDefault="003F764D" w14:paraId="46A3507F" w14:textId="10AF830C">
      <w:pPr>
        <w:pStyle w:val="TOC1"/>
        <w:jc w:val="both"/>
        <w:rPr>
          <w:rFonts w:asciiTheme="minorHAnsi" w:hAnsiTheme="minorHAnsi" w:eastAsiaTheme="minorEastAsia"/>
          <w:noProof/>
          <w:color w:val="auto"/>
          <w:kern w:val="2"/>
          <w:szCs w:val="24"/>
          <w:lang w:eastAsia="en-GB"/>
          <w14:ligatures w14:val="standardContextual"/>
        </w:rPr>
      </w:pPr>
      <w:hyperlink w:history="1" w:anchor="_Toc190700712">
        <w:r w:rsidRPr="00876AC3">
          <w:rPr>
            <w:rStyle w:val="Hyperlink"/>
            <w:rFonts w:ascii="Aptos" w:hAnsi="Aptos"/>
            <w:noProof/>
          </w:rPr>
          <w:t>5.</w:t>
        </w:r>
        <w:r>
          <w:rPr>
            <w:rFonts w:asciiTheme="minorHAnsi" w:hAnsiTheme="minorHAnsi" w:eastAsiaTheme="minorEastAsia"/>
            <w:noProof/>
            <w:color w:val="auto"/>
            <w:kern w:val="2"/>
            <w:szCs w:val="24"/>
            <w:lang w:eastAsia="en-GB"/>
            <w14:ligatures w14:val="standardContextual"/>
          </w:rPr>
          <w:tab/>
        </w:r>
        <w:r w:rsidRPr="00876AC3">
          <w:rPr>
            <w:rStyle w:val="Hyperlink"/>
            <w:rFonts w:ascii="Aptos" w:hAnsi="Aptos"/>
            <w:noProof/>
          </w:rPr>
          <w:t>Savings Assessment Overview</w:t>
        </w:r>
        <w:r>
          <w:rPr>
            <w:noProof/>
            <w:webHidden/>
          </w:rPr>
          <w:tab/>
        </w:r>
        <w:r>
          <w:rPr>
            <w:noProof/>
            <w:webHidden/>
          </w:rPr>
          <w:fldChar w:fldCharType="begin"/>
        </w:r>
        <w:r>
          <w:rPr>
            <w:noProof/>
            <w:webHidden/>
          </w:rPr>
          <w:instrText xml:space="preserve"> PAGEREF _Toc190700712 \h </w:instrText>
        </w:r>
        <w:r>
          <w:rPr>
            <w:noProof/>
            <w:webHidden/>
          </w:rPr>
        </w:r>
        <w:r>
          <w:rPr>
            <w:noProof/>
            <w:webHidden/>
          </w:rPr>
          <w:fldChar w:fldCharType="separate"/>
        </w:r>
        <w:r w:rsidR="000155C3">
          <w:rPr>
            <w:noProof/>
            <w:webHidden/>
          </w:rPr>
          <w:t>13</w:t>
        </w:r>
        <w:r>
          <w:rPr>
            <w:noProof/>
            <w:webHidden/>
          </w:rPr>
          <w:fldChar w:fldCharType="end"/>
        </w:r>
      </w:hyperlink>
    </w:p>
    <w:p w:rsidR="003F764D" w:rsidP="000155C3" w:rsidRDefault="003F764D" w14:paraId="0253FECB" w14:textId="3661F614">
      <w:pPr>
        <w:pStyle w:val="TOC2"/>
        <w:tabs>
          <w:tab w:val="left" w:pos="720"/>
        </w:tabs>
        <w:jc w:val="both"/>
        <w:rPr>
          <w:rFonts w:asciiTheme="minorHAnsi" w:hAnsiTheme="minorHAnsi" w:eastAsiaTheme="minorEastAsia"/>
          <w:noProof/>
          <w:color w:val="auto"/>
          <w:kern w:val="2"/>
          <w:szCs w:val="24"/>
          <w:lang w:eastAsia="en-GB"/>
          <w14:ligatures w14:val="standardContextual"/>
        </w:rPr>
      </w:pPr>
      <w:hyperlink w:history="1" w:anchor="_Toc190700713">
        <w:r w:rsidRPr="00876AC3">
          <w:rPr>
            <w:rStyle w:val="Hyperlink"/>
            <w:rFonts w:ascii="Aptos" w:hAnsi="Aptos"/>
            <w:noProof/>
          </w:rPr>
          <w:t>6.</w:t>
        </w:r>
        <w:r>
          <w:rPr>
            <w:rFonts w:asciiTheme="minorHAnsi" w:hAnsiTheme="minorHAnsi" w:eastAsiaTheme="minorEastAsia"/>
            <w:noProof/>
            <w:color w:val="auto"/>
            <w:kern w:val="2"/>
            <w:szCs w:val="24"/>
            <w:lang w:eastAsia="en-GB"/>
            <w14:ligatures w14:val="standardContextual"/>
          </w:rPr>
          <w:tab/>
        </w:r>
        <w:r w:rsidRPr="00876AC3">
          <w:rPr>
            <w:rStyle w:val="Hyperlink"/>
            <w:noProof/>
          </w:rPr>
          <w:t>Annex A: Frequently Asked Questions</w:t>
        </w:r>
        <w:r>
          <w:rPr>
            <w:noProof/>
            <w:webHidden/>
          </w:rPr>
          <w:tab/>
        </w:r>
        <w:r>
          <w:rPr>
            <w:noProof/>
            <w:webHidden/>
          </w:rPr>
          <w:fldChar w:fldCharType="begin"/>
        </w:r>
        <w:r>
          <w:rPr>
            <w:noProof/>
            <w:webHidden/>
          </w:rPr>
          <w:instrText xml:space="preserve"> PAGEREF _Toc190700713 \h </w:instrText>
        </w:r>
        <w:r>
          <w:rPr>
            <w:noProof/>
            <w:webHidden/>
          </w:rPr>
        </w:r>
        <w:r>
          <w:rPr>
            <w:noProof/>
            <w:webHidden/>
          </w:rPr>
          <w:fldChar w:fldCharType="separate"/>
        </w:r>
        <w:r w:rsidR="000155C3">
          <w:rPr>
            <w:noProof/>
            <w:webHidden/>
          </w:rPr>
          <w:t>14</w:t>
        </w:r>
        <w:r>
          <w:rPr>
            <w:noProof/>
            <w:webHidden/>
          </w:rPr>
          <w:fldChar w:fldCharType="end"/>
        </w:r>
      </w:hyperlink>
    </w:p>
    <w:p w:rsidR="003F764D" w:rsidP="000155C3" w:rsidRDefault="003F764D" w14:paraId="6B625F60" w14:textId="316592D1">
      <w:pPr>
        <w:pStyle w:val="TOC3"/>
        <w:tabs>
          <w:tab w:val="right" w:leader="underscore" w:pos="10082"/>
        </w:tabs>
        <w:jc w:val="both"/>
        <w:rPr>
          <w:rFonts w:asciiTheme="minorHAnsi" w:hAnsiTheme="minorHAnsi" w:eastAsiaTheme="minorEastAsia"/>
          <w:noProof/>
          <w:kern w:val="2"/>
          <w:lang w:eastAsia="en-GB"/>
          <w14:ligatures w14:val="standardContextual"/>
        </w:rPr>
      </w:pPr>
      <w:hyperlink w:history="1" w:anchor="_Toc190700714">
        <w:r w:rsidRPr="00876AC3">
          <w:rPr>
            <w:rStyle w:val="Hyperlink"/>
            <w:noProof/>
          </w:rPr>
          <w:t>B. Timings / Process</w:t>
        </w:r>
        <w:r>
          <w:rPr>
            <w:noProof/>
            <w:webHidden/>
          </w:rPr>
          <w:tab/>
        </w:r>
        <w:r>
          <w:rPr>
            <w:noProof/>
            <w:webHidden/>
          </w:rPr>
          <w:fldChar w:fldCharType="begin"/>
        </w:r>
        <w:r>
          <w:rPr>
            <w:noProof/>
            <w:webHidden/>
          </w:rPr>
          <w:instrText xml:space="preserve"> PAGEREF _Toc190700714 \h </w:instrText>
        </w:r>
        <w:r>
          <w:rPr>
            <w:noProof/>
            <w:webHidden/>
          </w:rPr>
        </w:r>
        <w:r>
          <w:rPr>
            <w:noProof/>
            <w:webHidden/>
          </w:rPr>
          <w:fldChar w:fldCharType="separate"/>
        </w:r>
        <w:r w:rsidR="000155C3">
          <w:rPr>
            <w:noProof/>
            <w:webHidden/>
          </w:rPr>
          <w:t>15</w:t>
        </w:r>
        <w:r>
          <w:rPr>
            <w:noProof/>
            <w:webHidden/>
          </w:rPr>
          <w:fldChar w:fldCharType="end"/>
        </w:r>
      </w:hyperlink>
    </w:p>
    <w:p w:rsidR="003F764D" w:rsidP="000155C3" w:rsidRDefault="003F764D" w14:paraId="37F1D778" w14:textId="508CBDE5">
      <w:pPr>
        <w:pStyle w:val="TOC3"/>
        <w:tabs>
          <w:tab w:val="right" w:leader="underscore" w:pos="10082"/>
        </w:tabs>
        <w:jc w:val="both"/>
        <w:rPr>
          <w:rFonts w:asciiTheme="minorHAnsi" w:hAnsiTheme="minorHAnsi" w:eastAsiaTheme="minorEastAsia"/>
          <w:noProof/>
          <w:kern w:val="2"/>
          <w:lang w:eastAsia="en-GB"/>
          <w14:ligatures w14:val="standardContextual"/>
        </w:rPr>
      </w:pPr>
      <w:hyperlink w:history="1" w:anchor="_Toc190700715">
        <w:r w:rsidRPr="00876AC3">
          <w:rPr>
            <w:rStyle w:val="Hyperlink"/>
            <w:noProof/>
          </w:rPr>
          <w:t>C. Base Year</w:t>
        </w:r>
        <w:r>
          <w:rPr>
            <w:noProof/>
            <w:webHidden/>
          </w:rPr>
          <w:tab/>
        </w:r>
        <w:r>
          <w:rPr>
            <w:noProof/>
            <w:webHidden/>
          </w:rPr>
          <w:fldChar w:fldCharType="begin"/>
        </w:r>
        <w:r>
          <w:rPr>
            <w:noProof/>
            <w:webHidden/>
          </w:rPr>
          <w:instrText xml:space="preserve"> PAGEREF _Toc190700715 \h </w:instrText>
        </w:r>
        <w:r>
          <w:rPr>
            <w:noProof/>
            <w:webHidden/>
          </w:rPr>
        </w:r>
        <w:r>
          <w:rPr>
            <w:noProof/>
            <w:webHidden/>
          </w:rPr>
          <w:fldChar w:fldCharType="separate"/>
        </w:r>
        <w:r w:rsidR="000155C3">
          <w:rPr>
            <w:noProof/>
            <w:webHidden/>
          </w:rPr>
          <w:t>15</w:t>
        </w:r>
        <w:r>
          <w:rPr>
            <w:noProof/>
            <w:webHidden/>
          </w:rPr>
          <w:fldChar w:fldCharType="end"/>
        </w:r>
      </w:hyperlink>
    </w:p>
    <w:p w:rsidR="003F764D" w:rsidP="000155C3" w:rsidRDefault="003F764D" w14:paraId="53E3EF3C" w14:textId="7C9616D0">
      <w:pPr>
        <w:pStyle w:val="TOC3"/>
        <w:tabs>
          <w:tab w:val="right" w:leader="underscore" w:pos="10082"/>
        </w:tabs>
        <w:jc w:val="both"/>
        <w:rPr>
          <w:rFonts w:asciiTheme="minorHAnsi" w:hAnsiTheme="minorHAnsi" w:eastAsiaTheme="minorEastAsia"/>
          <w:noProof/>
          <w:kern w:val="2"/>
          <w:lang w:eastAsia="en-GB"/>
          <w14:ligatures w14:val="standardContextual"/>
        </w:rPr>
      </w:pPr>
      <w:hyperlink w:history="1" w:anchor="_Toc190700716">
        <w:r w:rsidRPr="00876AC3">
          <w:rPr>
            <w:rStyle w:val="Hyperlink"/>
            <w:noProof/>
          </w:rPr>
          <w:t>D. Costs and Commercial Sensitivity</w:t>
        </w:r>
        <w:r>
          <w:rPr>
            <w:noProof/>
            <w:webHidden/>
          </w:rPr>
          <w:tab/>
        </w:r>
        <w:r>
          <w:rPr>
            <w:noProof/>
            <w:webHidden/>
          </w:rPr>
          <w:fldChar w:fldCharType="begin"/>
        </w:r>
        <w:r>
          <w:rPr>
            <w:noProof/>
            <w:webHidden/>
          </w:rPr>
          <w:instrText xml:space="preserve"> PAGEREF _Toc190700716 \h </w:instrText>
        </w:r>
        <w:r>
          <w:rPr>
            <w:noProof/>
            <w:webHidden/>
          </w:rPr>
        </w:r>
        <w:r>
          <w:rPr>
            <w:noProof/>
            <w:webHidden/>
          </w:rPr>
          <w:fldChar w:fldCharType="separate"/>
        </w:r>
        <w:r w:rsidR="000155C3">
          <w:rPr>
            <w:noProof/>
            <w:webHidden/>
          </w:rPr>
          <w:t>16</w:t>
        </w:r>
        <w:r>
          <w:rPr>
            <w:noProof/>
            <w:webHidden/>
          </w:rPr>
          <w:fldChar w:fldCharType="end"/>
        </w:r>
      </w:hyperlink>
    </w:p>
    <w:p w:rsidR="003F764D" w:rsidP="000155C3" w:rsidRDefault="003F764D" w14:paraId="6A5DA610" w14:textId="7B88F484">
      <w:pPr>
        <w:pStyle w:val="TOC3"/>
        <w:tabs>
          <w:tab w:val="right" w:leader="underscore" w:pos="10082"/>
        </w:tabs>
        <w:jc w:val="both"/>
        <w:rPr>
          <w:rFonts w:asciiTheme="minorHAnsi" w:hAnsiTheme="minorHAnsi" w:eastAsiaTheme="minorEastAsia"/>
          <w:noProof/>
          <w:kern w:val="2"/>
          <w:lang w:eastAsia="en-GB"/>
          <w14:ligatures w14:val="standardContextual"/>
        </w:rPr>
      </w:pPr>
      <w:hyperlink w:history="1" w:anchor="_Toc190700717">
        <w:r w:rsidRPr="00876AC3">
          <w:rPr>
            <w:rStyle w:val="Hyperlink"/>
            <w:noProof/>
          </w:rPr>
          <w:t>E. Target Setting</w:t>
        </w:r>
        <w:r>
          <w:rPr>
            <w:noProof/>
            <w:webHidden/>
          </w:rPr>
          <w:tab/>
        </w:r>
        <w:r>
          <w:rPr>
            <w:noProof/>
            <w:webHidden/>
          </w:rPr>
          <w:fldChar w:fldCharType="begin"/>
        </w:r>
        <w:r>
          <w:rPr>
            <w:noProof/>
            <w:webHidden/>
          </w:rPr>
          <w:instrText xml:space="preserve"> PAGEREF _Toc190700717 \h </w:instrText>
        </w:r>
        <w:r>
          <w:rPr>
            <w:noProof/>
            <w:webHidden/>
          </w:rPr>
        </w:r>
        <w:r>
          <w:rPr>
            <w:noProof/>
            <w:webHidden/>
          </w:rPr>
          <w:fldChar w:fldCharType="separate"/>
        </w:r>
        <w:r w:rsidR="000155C3">
          <w:rPr>
            <w:noProof/>
            <w:webHidden/>
          </w:rPr>
          <w:t>17</w:t>
        </w:r>
        <w:r>
          <w:rPr>
            <w:noProof/>
            <w:webHidden/>
          </w:rPr>
          <w:fldChar w:fldCharType="end"/>
        </w:r>
      </w:hyperlink>
    </w:p>
    <w:p w:rsidR="003F764D" w:rsidP="000155C3" w:rsidRDefault="003F764D" w14:paraId="25B8A8C7" w14:textId="2FA1BEA2">
      <w:pPr>
        <w:pStyle w:val="TOC3"/>
        <w:tabs>
          <w:tab w:val="right" w:leader="underscore" w:pos="10082"/>
        </w:tabs>
        <w:jc w:val="both"/>
        <w:rPr>
          <w:rFonts w:asciiTheme="minorHAnsi" w:hAnsiTheme="minorHAnsi" w:eastAsiaTheme="minorEastAsia"/>
          <w:noProof/>
          <w:kern w:val="2"/>
          <w:lang w:eastAsia="en-GB"/>
          <w14:ligatures w14:val="standardContextual"/>
        </w:rPr>
      </w:pPr>
      <w:hyperlink w:history="1" w:anchor="_Toc190700718">
        <w:r w:rsidRPr="00876AC3">
          <w:rPr>
            <w:rStyle w:val="Hyperlink"/>
            <w:noProof/>
          </w:rPr>
          <w:t>F. SAT Specific</w:t>
        </w:r>
        <w:r>
          <w:rPr>
            <w:noProof/>
            <w:webHidden/>
          </w:rPr>
          <w:tab/>
        </w:r>
        <w:r>
          <w:rPr>
            <w:noProof/>
            <w:webHidden/>
          </w:rPr>
          <w:fldChar w:fldCharType="begin"/>
        </w:r>
        <w:r>
          <w:rPr>
            <w:noProof/>
            <w:webHidden/>
          </w:rPr>
          <w:instrText xml:space="preserve"> PAGEREF _Toc190700718 \h </w:instrText>
        </w:r>
        <w:r>
          <w:rPr>
            <w:noProof/>
            <w:webHidden/>
          </w:rPr>
        </w:r>
        <w:r>
          <w:rPr>
            <w:noProof/>
            <w:webHidden/>
          </w:rPr>
          <w:fldChar w:fldCharType="separate"/>
        </w:r>
        <w:r w:rsidR="000155C3">
          <w:rPr>
            <w:noProof/>
            <w:webHidden/>
          </w:rPr>
          <w:t>17</w:t>
        </w:r>
        <w:r>
          <w:rPr>
            <w:noProof/>
            <w:webHidden/>
          </w:rPr>
          <w:fldChar w:fldCharType="end"/>
        </w:r>
      </w:hyperlink>
    </w:p>
    <w:p w:rsidRPr="00711C2B" w:rsidR="00012AB1" w:rsidP="009624EC" w:rsidRDefault="00012AB1" w14:paraId="666A21EF" w14:textId="382FA286">
      <w:pPr>
        <w:sectPr w:rsidRPr="00711C2B" w:rsidR="00012AB1" w:rsidSect="00012AB1">
          <w:headerReference w:type="default" r:id="rId16"/>
          <w:footerReference w:type="default" r:id="rId17"/>
          <w:pgSz w:w="11906" w:h="16838" w:orient="portrait"/>
          <w:pgMar w:top="1418" w:right="907" w:bottom="907" w:left="907" w:header="709" w:footer="266" w:gutter="0"/>
          <w:cols w:space="708"/>
          <w:docGrid w:linePitch="360"/>
        </w:sectPr>
      </w:pPr>
      <w:r>
        <w:fldChar w:fldCharType="end"/>
      </w:r>
    </w:p>
    <w:p w:rsidRPr="00711C2B" w:rsidR="00012AB1" w:rsidP="00D732A2" w:rsidRDefault="00012AB1" w14:paraId="10A4AAD0" w14:textId="77777777">
      <w:pPr>
        <w:pStyle w:val="Heading1"/>
        <w:numPr>
          <w:ilvl w:val="0"/>
          <w:numId w:val="7"/>
        </w:numPr>
        <w:spacing w:line="278" w:lineRule="auto"/>
        <w:jc w:val="both"/>
        <w:rPr>
          <w:rFonts w:ascii="Aptos" w:hAnsi="Aptos"/>
        </w:rPr>
      </w:pPr>
      <w:bookmarkStart w:name="_Toc190180799" w:id="3"/>
      <w:bookmarkStart w:name="_Toc190180907" w:id="4"/>
      <w:bookmarkStart w:name="_Toc190181039" w:id="5"/>
      <w:bookmarkStart w:name="_Toc190700708" w:id="6"/>
      <w:r w:rsidRPr="00711C2B">
        <w:rPr>
          <w:rFonts w:ascii="Aptos" w:hAnsi="Aptos"/>
        </w:rPr>
        <w:t>Introduction</w:t>
      </w:r>
      <w:bookmarkEnd w:id="3"/>
      <w:bookmarkEnd w:id="4"/>
      <w:bookmarkEnd w:id="5"/>
      <w:bookmarkEnd w:id="6"/>
    </w:p>
    <w:p w:rsidR="00AE0440" w:rsidP="7D187541" w:rsidRDefault="00012AB1" w14:paraId="50FBD27E" w14:textId="6C87BE7C">
      <w:pPr>
        <w:pStyle w:val="ListParagraph"/>
        <w:numPr>
          <w:ilvl w:val="1"/>
          <w:numId w:val="7"/>
        </w:numPr>
        <w:spacing w:line="278" w:lineRule="auto"/>
        <w:ind w:left="431" w:hanging="431"/>
        <w:jc w:val="both"/>
        <w:rPr>
          <w:rFonts w:eastAsia="Calibri" w:cs="Calibri"/>
          <w:lang w:eastAsia="ja-JP"/>
        </w:rPr>
      </w:pPr>
      <w:r w:rsidRPr="7D187541">
        <w:rPr>
          <w:rFonts w:eastAsia="Calibri" w:cs="Calibri"/>
          <w:lang w:eastAsia="ja-JP"/>
        </w:rPr>
        <w:t xml:space="preserve">This guidance is provided to assist Facility Operators (or their </w:t>
      </w:r>
      <w:r w:rsidRPr="7D187541" w:rsidR="2DE51D81">
        <w:rPr>
          <w:rFonts w:eastAsia="Calibri" w:cs="Calibri"/>
          <w:lang w:eastAsia="ja-JP"/>
        </w:rPr>
        <w:t>consultant</w:t>
      </w:r>
      <w:r w:rsidRPr="7D187541">
        <w:rPr>
          <w:rFonts w:eastAsia="Calibri" w:cs="Calibri"/>
          <w:lang w:eastAsia="ja-JP"/>
        </w:rPr>
        <w:t>) with completion of the Facility Energy and Carbon Savings Assessment Tool (SAT).</w:t>
      </w:r>
      <w:r w:rsidRPr="7D187541" w:rsidR="733BCC18">
        <w:rPr>
          <w:rFonts w:eastAsia="Calibri" w:cs="Calibri"/>
          <w:lang w:eastAsia="ja-JP"/>
        </w:rPr>
        <w:t xml:space="preserve"> </w:t>
      </w:r>
      <w:r w:rsidRPr="7D187541">
        <w:rPr>
          <w:rFonts w:eastAsia="Calibri" w:cs="Calibri"/>
          <w:lang w:eastAsia="ja-JP"/>
        </w:rPr>
        <w:t xml:space="preserve">The </w:t>
      </w:r>
      <w:r w:rsidRPr="7D187541" w:rsidR="692824D6">
        <w:rPr>
          <w:rFonts w:eastAsia="Calibri" w:cs="Calibri"/>
          <w:lang w:eastAsia="ja-JP"/>
        </w:rPr>
        <w:t xml:space="preserve">SAT </w:t>
      </w:r>
      <w:r w:rsidRPr="7D187541">
        <w:rPr>
          <w:rFonts w:eastAsia="Calibri" w:cs="Calibri"/>
          <w:lang w:eastAsia="ja-JP"/>
        </w:rPr>
        <w:t xml:space="preserve">will be </w:t>
      </w:r>
      <w:r w:rsidRPr="7D187541" w:rsidR="4336104B">
        <w:rPr>
          <w:rFonts w:eastAsia="Calibri" w:cs="Calibri"/>
          <w:lang w:eastAsia="ja-JP"/>
        </w:rPr>
        <w:t xml:space="preserve">provided by your Sector Association </w:t>
      </w:r>
      <w:r w:rsidRPr="7D187541" w:rsidR="00285B76">
        <w:rPr>
          <w:rFonts w:eastAsia="Calibri" w:cs="Calibri"/>
          <w:lang w:eastAsia="ja-JP"/>
        </w:rPr>
        <w:t xml:space="preserve">(SA) </w:t>
      </w:r>
      <w:r w:rsidRPr="7D187541" w:rsidR="4336104B">
        <w:rPr>
          <w:rFonts w:eastAsia="Calibri" w:cs="Calibri"/>
          <w:lang w:eastAsia="ja-JP"/>
        </w:rPr>
        <w:t xml:space="preserve">and </w:t>
      </w:r>
      <w:r w:rsidRPr="7D187541">
        <w:rPr>
          <w:rFonts w:eastAsia="Calibri" w:cs="Calibri"/>
          <w:lang w:eastAsia="ja-JP"/>
        </w:rPr>
        <w:t>will be used to</w:t>
      </w:r>
      <w:r w:rsidRPr="7D187541" w:rsidR="50FFF059">
        <w:rPr>
          <w:rFonts w:eastAsia="Calibri" w:cs="Calibri"/>
          <w:lang w:eastAsia="ja-JP"/>
        </w:rPr>
        <w:t>:</w:t>
      </w:r>
    </w:p>
    <w:p w:rsidR="00AE0440" w:rsidP="00D732A2" w:rsidRDefault="30CBF63F" w14:paraId="16906019" w14:textId="41AA584A">
      <w:pPr>
        <w:pStyle w:val="ListParagraph"/>
        <w:numPr>
          <w:ilvl w:val="2"/>
          <w:numId w:val="7"/>
        </w:numPr>
        <w:spacing w:line="278" w:lineRule="auto"/>
        <w:ind w:left="1304" w:hanging="737"/>
        <w:jc w:val="both"/>
        <w:rPr>
          <w:rFonts w:eastAsia="Calibri" w:cs="Calibri"/>
          <w:lang w:eastAsia="ja-JP"/>
        </w:rPr>
      </w:pPr>
      <w:r w:rsidRPr="003F764D">
        <w:rPr>
          <w:rFonts w:eastAsia="Calibri" w:cs="Calibri"/>
          <w:lang w:eastAsia="ja-JP"/>
        </w:rPr>
        <w:t xml:space="preserve">Provide the Environment Agency </w:t>
      </w:r>
      <w:r w:rsidR="009548C8">
        <w:rPr>
          <w:rFonts w:eastAsia="Calibri" w:cs="Calibri"/>
          <w:lang w:eastAsia="ja-JP"/>
        </w:rPr>
        <w:t xml:space="preserve">(EA) </w:t>
      </w:r>
      <w:r w:rsidRPr="003F764D">
        <w:rPr>
          <w:rFonts w:eastAsia="Calibri" w:cs="Calibri"/>
          <w:lang w:eastAsia="ja-JP"/>
        </w:rPr>
        <w:t xml:space="preserve">with the data they need to set a baseline for each facility in the </w:t>
      </w:r>
      <w:r w:rsidRPr="003F764D" w:rsidR="118668D0">
        <w:rPr>
          <w:rFonts w:eastAsia="Calibri" w:cs="Calibri"/>
          <w:lang w:eastAsia="ja-JP"/>
        </w:rPr>
        <w:t>n</w:t>
      </w:r>
      <w:r w:rsidRPr="003F764D">
        <w:rPr>
          <w:rFonts w:eastAsia="Calibri" w:cs="Calibri"/>
          <w:lang w:eastAsia="ja-JP"/>
        </w:rPr>
        <w:t xml:space="preserve">ew CCA </w:t>
      </w:r>
      <w:r w:rsidRPr="003F764D" w:rsidR="00D732A2">
        <w:rPr>
          <w:rFonts w:eastAsia="Calibri" w:cs="Calibri"/>
          <w:lang w:eastAsia="ja-JP"/>
        </w:rPr>
        <w:t>scheme.</w:t>
      </w:r>
    </w:p>
    <w:p w:rsidR="00012AB1" w:rsidP="00D732A2" w:rsidRDefault="30CBF63F" w14:paraId="784812C1" w14:textId="517B60C9">
      <w:pPr>
        <w:pStyle w:val="ListParagraph"/>
        <w:numPr>
          <w:ilvl w:val="2"/>
          <w:numId w:val="7"/>
        </w:numPr>
        <w:spacing w:after="0" w:line="278" w:lineRule="auto"/>
        <w:ind w:left="1304" w:hanging="737"/>
        <w:jc w:val="both"/>
        <w:rPr>
          <w:rFonts w:eastAsia="Calibri" w:cs="Calibri"/>
          <w:lang w:eastAsia="ja-JP"/>
        </w:rPr>
      </w:pPr>
      <w:r w:rsidRPr="003F764D">
        <w:rPr>
          <w:rFonts w:eastAsia="Calibri" w:cs="Calibri"/>
          <w:lang w:eastAsia="ja-JP"/>
        </w:rPr>
        <w:t>A</w:t>
      </w:r>
      <w:r w:rsidRPr="003F764D" w:rsidR="00012AB1">
        <w:rPr>
          <w:rFonts w:eastAsia="Calibri" w:cs="Calibri"/>
          <w:lang w:eastAsia="ja-JP"/>
        </w:rPr>
        <w:t>id the Department of Energy Security &amp; Net Zero (DESNZ) to set</w:t>
      </w:r>
      <w:r w:rsidRPr="003F764D" w:rsidDel="00012AB1">
        <w:rPr>
          <w:rFonts w:eastAsia="Calibri" w:cs="Calibri"/>
          <w:lang w:eastAsia="ja-JP"/>
        </w:rPr>
        <w:t xml:space="preserve"> </w:t>
      </w:r>
      <w:r w:rsidRPr="003F764D" w:rsidR="003E0F71">
        <w:rPr>
          <w:rFonts w:eastAsia="Calibri" w:cs="Calibri"/>
          <w:lang w:eastAsia="ja-JP"/>
        </w:rPr>
        <w:t xml:space="preserve">robust </w:t>
      </w:r>
      <w:r w:rsidRPr="003F764D" w:rsidR="00012AB1">
        <w:rPr>
          <w:rFonts w:eastAsia="Calibri" w:cs="Calibri"/>
          <w:lang w:eastAsia="ja-JP"/>
        </w:rPr>
        <w:t>targets for the whole duration of the upcoming new CCA scheme. Therefore, this is a one-off process which will only be needed once for the new scheme, and the amount of information it asks for is proportionate to this.</w:t>
      </w:r>
    </w:p>
    <w:p w:rsidRPr="003F764D" w:rsidR="00FD69C0" w:rsidP="00D732A2" w:rsidRDefault="00FD69C0" w14:paraId="4E75FF27" w14:textId="77777777">
      <w:pPr>
        <w:pStyle w:val="ListParagraph"/>
        <w:spacing w:after="0" w:line="278" w:lineRule="auto"/>
        <w:ind w:left="1304"/>
        <w:jc w:val="both"/>
        <w:rPr>
          <w:rFonts w:eastAsia="Calibri" w:cs="Calibri"/>
          <w:lang w:eastAsia="ja-JP"/>
        </w:rPr>
      </w:pPr>
    </w:p>
    <w:p w:rsidRPr="00711C2B" w:rsidR="00A4266F" w:rsidP="00D732A2" w:rsidRDefault="00A4266F" w14:paraId="2D98C681" w14:textId="4B6DD885">
      <w:pPr>
        <w:pStyle w:val="ListParagraph"/>
        <w:numPr>
          <w:ilvl w:val="1"/>
          <w:numId w:val="7"/>
        </w:numPr>
        <w:spacing w:line="278" w:lineRule="auto"/>
        <w:ind w:left="431" w:hanging="431"/>
        <w:jc w:val="both"/>
        <w:rPr>
          <w:rFonts w:eastAsia="Calibri" w:cs="Calibri"/>
        </w:rPr>
      </w:pPr>
      <w:r w:rsidRPr="00711C2B">
        <w:rPr>
          <w:rFonts w:eastAsia="Calibri" w:cs="Calibri"/>
        </w:rPr>
        <w:t xml:space="preserve">To minimise admin </w:t>
      </w:r>
      <w:r w:rsidRPr="00711C2B" w:rsidR="0096538D">
        <w:rPr>
          <w:rFonts w:eastAsia="Calibri" w:cs="Calibri"/>
        </w:rPr>
        <w:t>burden,</w:t>
      </w:r>
      <w:r w:rsidRPr="00711C2B">
        <w:rPr>
          <w:rFonts w:eastAsia="Calibri" w:cs="Calibri"/>
        </w:rPr>
        <w:t xml:space="preserve"> we have integrated the baseline data collection with the needs for data for target setting on EE and decarbonisation measures in the SAT. This means:</w:t>
      </w:r>
    </w:p>
    <w:p w:rsidRPr="00FD69C0" w:rsidR="00A4266F" w:rsidP="00D732A2" w:rsidRDefault="00A4266F" w14:paraId="5290EAC3" w14:textId="77777777">
      <w:pPr>
        <w:pStyle w:val="ListParagraph"/>
        <w:numPr>
          <w:ilvl w:val="2"/>
          <w:numId w:val="7"/>
        </w:numPr>
        <w:spacing w:after="0" w:line="278" w:lineRule="auto"/>
        <w:ind w:left="1304" w:hanging="737"/>
        <w:jc w:val="both"/>
        <w:rPr>
          <w:rFonts w:eastAsia="Calibri" w:cs="Calibri"/>
          <w:b/>
          <w:bCs/>
          <w:lang w:eastAsia="ja-JP"/>
        </w:rPr>
      </w:pPr>
      <w:r w:rsidRPr="003F764D">
        <w:rPr>
          <w:rFonts w:eastAsia="Calibri" w:cs="Calibri"/>
          <w:b/>
          <w:u w:val="single"/>
        </w:rPr>
        <w:t>All facilities</w:t>
      </w:r>
      <w:r w:rsidRPr="00995849">
        <w:rPr>
          <w:rFonts w:eastAsia="Calibri" w:cs="Calibri"/>
          <w:b/>
        </w:rPr>
        <w:t xml:space="preserve"> will at least need to complete tabs 1 and 2 of the SAT, </w:t>
      </w:r>
      <w:r>
        <w:rPr>
          <w:rFonts w:eastAsia="Calibri" w:cs="Calibri"/>
          <w:b/>
        </w:rPr>
        <w:t>which will provide the baseline data needed by the EA.</w:t>
      </w:r>
    </w:p>
    <w:p w:rsidR="00A4266F" w:rsidP="7D187541" w:rsidRDefault="00A4266F" w14:paraId="6C4412E5" w14:textId="34F29376">
      <w:pPr>
        <w:pStyle w:val="ListParagraph"/>
        <w:numPr>
          <w:ilvl w:val="2"/>
          <w:numId w:val="7"/>
        </w:numPr>
        <w:spacing w:after="0" w:line="278" w:lineRule="auto"/>
        <w:ind w:left="1304" w:hanging="737"/>
        <w:jc w:val="both"/>
        <w:rPr>
          <w:rFonts w:eastAsia="Calibri" w:cs="Calibri"/>
        </w:rPr>
      </w:pPr>
      <w:r w:rsidRPr="7D187541">
        <w:rPr>
          <w:rFonts w:eastAsia="Calibri" w:cs="Calibri"/>
          <w:b/>
          <w:bCs/>
          <w:u w:val="single"/>
        </w:rPr>
        <w:t>A sample of facilities</w:t>
      </w:r>
      <w:r w:rsidRPr="7D187541">
        <w:rPr>
          <w:rFonts w:eastAsia="Calibri" w:cs="Calibri"/>
          <w:b/>
          <w:bCs/>
        </w:rPr>
        <w:t xml:space="preserve"> will also need to complete tabs of the SAT related to target setting (tabs 3, 4a</w:t>
      </w:r>
      <w:r w:rsidRPr="7D187541" w:rsidR="00004C6A">
        <w:rPr>
          <w:rFonts w:eastAsia="Calibri" w:cs="Calibri"/>
          <w:b/>
          <w:bCs/>
        </w:rPr>
        <w:t xml:space="preserve"> and </w:t>
      </w:r>
      <w:r w:rsidRPr="7D187541">
        <w:rPr>
          <w:rFonts w:eastAsia="Calibri" w:cs="Calibri"/>
          <w:b/>
          <w:bCs/>
        </w:rPr>
        <w:t>4b)</w:t>
      </w:r>
      <w:r w:rsidRPr="7D187541">
        <w:rPr>
          <w:rFonts w:eastAsia="Calibri" w:cs="Calibri"/>
          <w:b/>
          <w:bCs/>
          <w:lang w:eastAsia="ja-JP"/>
        </w:rPr>
        <w:t>.</w:t>
      </w:r>
      <w:r w:rsidRPr="7D187541" w:rsidR="749FCF7B">
        <w:rPr>
          <w:rFonts w:eastAsia="Calibri" w:cs="Calibri"/>
          <w:b/>
          <w:bCs/>
          <w:lang w:eastAsia="ja-JP"/>
        </w:rPr>
        <w:t xml:space="preserve"> </w:t>
      </w:r>
      <w:r w:rsidRPr="7D187541" w:rsidR="749FCF7B">
        <w:rPr>
          <w:rFonts w:eastAsia="Calibri" w:cs="Calibri"/>
        </w:rPr>
        <w:t>Your Sector Association will indicate if you are require</w:t>
      </w:r>
      <w:r w:rsidRPr="7D187541" w:rsidR="008407CC">
        <w:rPr>
          <w:rFonts w:eastAsia="Calibri" w:cs="Calibri"/>
        </w:rPr>
        <w:t>d</w:t>
      </w:r>
      <w:r w:rsidRPr="7D187541" w:rsidR="749FCF7B">
        <w:rPr>
          <w:rFonts w:eastAsia="Calibri" w:cs="Calibri"/>
        </w:rPr>
        <w:t xml:space="preserve"> to complete these tabs.</w:t>
      </w:r>
    </w:p>
    <w:p w:rsidRPr="00711C2B" w:rsidR="00A4266F" w:rsidP="00D732A2" w:rsidRDefault="00A4266F" w14:paraId="1DA7F529" w14:textId="6E6AC773">
      <w:pPr>
        <w:pStyle w:val="ListParagraph"/>
        <w:spacing w:after="0"/>
        <w:ind w:left="1440"/>
        <w:jc w:val="both"/>
        <w:rPr>
          <w:rFonts w:eastAsia="Calibri" w:cs="Calibri"/>
        </w:rPr>
      </w:pPr>
    </w:p>
    <w:p w:rsidR="7CA9ACD8" w:rsidP="55E2512D" w:rsidRDefault="7CA9ACD8" w14:paraId="260EF30A" w14:textId="45384C35">
      <w:pPr>
        <w:pStyle w:val="ListParagraph"/>
        <w:numPr>
          <w:ilvl w:val="1"/>
          <w:numId w:val="7"/>
        </w:numPr>
        <w:spacing w:line="278" w:lineRule="auto"/>
        <w:ind w:left="431" w:hanging="431"/>
        <w:jc w:val="both"/>
        <w:rPr>
          <w:rFonts w:eastAsia="Calibri" w:cs="Calibri"/>
          <w:lang w:eastAsia="ja-JP"/>
        </w:rPr>
      </w:pPr>
      <w:r w:rsidR="0E3D7C3C">
        <w:rPr/>
        <w:t>A video walk</w:t>
      </w:r>
      <w:r w:rsidR="4856FB82">
        <w:rPr/>
        <w:t>-</w:t>
      </w:r>
      <w:r w:rsidR="0E3D7C3C">
        <w:rPr/>
        <w:t>through of how to complete the SAT is available at this URL:</w:t>
      </w:r>
      <w:r w:rsidRPr="55E2512D" w:rsidR="78750029">
        <w:rPr>
          <w:rFonts w:eastAsia="Calibri" w:cs="Calibri"/>
          <w:lang w:eastAsia="ja-JP"/>
        </w:rPr>
        <w:t xml:space="preserve"> </w:t>
      </w:r>
      <w:hyperlink r:id="R68ee9eb466394add">
        <w:r w:rsidRPr="55E2512D" w:rsidR="42289E3C">
          <w:rPr>
            <w:rStyle w:val="Hyperlink"/>
          </w:rPr>
          <w:t>https://www.youtube.com/watch?v=Za2RDzyur3s</w:t>
        </w:r>
        <w:r w:rsidRPr="55E2512D" w:rsidR="7CA9ACD8">
          <w:rPr>
            <w:rStyle w:val="Hyperlink"/>
          </w:rPr>
          <w:t>.</w:t>
        </w:r>
      </w:hyperlink>
      <w:r w:rsidRPr="55E2512D" w:rsidR="7CA9ACD8">
        <w:rPr>
          <w:rFonts w:eastAsia="Calibri" w:cs="Calibri"/>
          <w:lang w:eastAsia="ja-JP"/>
        </w:rPr>
        <w:t xml:space="preserve"> </w:t>
      </w:r>
      <w:r w:rsidRPr="55E2512D" w:rsidR="7CA9ACD8">
        <w:rPr>
          <w:rFonts w:eastAsia="Calibri" w:cs="Calibri"/>
          <w:lang w:eastAsia="ja-JP"/>
        </w:rPr>
        <w:t>Please note: there are some minor changes in the final SAT to the one seen here. E.g.</w:t>
      </w:r>
    </w:p>
    <w:p w:rsidR="7CA9ACD8" w:rsidP="6E63523B" w:rsidRDefault="7CA9ACD8" w14:paraId="3AB82102" w14:textId="771295A3">
      <w:pPr>
        <w:pStyle w:val="ListParagraph"/>
        <w:numPr>
          <w:ilvl w:val="2"/>
          <w:numId w:val="7"/>
        </w:numPr>
        <w:rPr/>
      </w:pPr>
      <w:r w:rsidR="7CA9ACD8">
        <w:rPr/>
        <w:t>B32 in tab 1 and B17 in tab 2 are now described as “Grid electricity and electricity from the combustion of renewable fuel”</w:t>
      </w:r>
    </w:p>
    <w:p w:rsidR="7CA9ACD8" w:rsidP="6E63523B" w:rsidRDefault="7CA9ACD8" w14:paraId="08653956" w14:textId="732414A6">
      <w:pPr>
        <w:pStyle w:val="ListParagraph"/>
        <w:numPr>
          <w:ilvl w:val="2"/>
          <w:numId w:val="7"/>
        </w:numPr>
        <w:rPr/>
      </w:pPr>
      <w:r w:rsidR="7CA9ACD8">
        <w:rPr/>
        <w:t>B34 in tab 1 and B19 in tab 2 are now described as “Non-grid electricity from the combustion of a non-renewable fuel (e.g. CHP)”</w:t>
      </w:r>
    </w:p>
    <w:p w:rsidR="7CA9ACD8" w:rsidP="6E63523B" w:rsidRDefault="7CA9ACD8" w14:paraId="360DEBCE" w14:textId="125EA03B">
      <w:pPr>
        <w:pStyle w:val="ListParagraph"/>
        <w:numPr>
          <w:ilvl w:val="2"/>
          <w:numId w:val="7"/>
        </w:numPr>
        <w:rPr/>
      </w:pPr>
      <w:r w:rsidR="7CA9ACD8">
        <w:rPr/>
        <w:t>D19 in tab 2 is now a green cell requiring manual input</w:t>
      </w:r>
    </w:p>
    <w:p w:rsidR="00FD69C0" w:rsidP="00D732A2" w:rsidRDefault="00FD69C0" w14:paraId="1D463282" w14:textId="77777777">
      <w:pPr>
        <w:pStyle w:val="ListParagraph"/>
        <w:spacing w:line="278" w:lineRule="auto"/>
        <w:ind w:left="431"/>
        <w:jc w:val="both"/>
        <w:rPr>
          <w:rFonts w:eastAsia="Calibri" w:cs="Calibri"/>
        </w:rPr>
      </w:pPr>
    </w:p>
    <w:p w:rsidR="00FD69C0" w:rsidP="7D187541" w:rsidRDefault="739D9A8E" w14:paraId="0667E3FB" w14:textId="215B4BDD">
      <w:pPr>
        <w:pStyle w:val="ListParagraph"/>
        <w:numPr>
          <w:ilvl w:val="1"/>
          <w:numId w:val="7"/>
        </w:numPr>
        <w:spacing w:line="278" w:lineRule="auto"/>
        <w:ind w:left="431" w:hanging="431"/>
        <w:jc w:val="both"/>
        <w:rPr>
          <w:rFonts w:eastAsia="Calibri" w:cs="Calibri"/>
        </w:rPr>
      </w:pPr>
      <w:r w:rsidRPr="7D187541">
        <w:rPr>
          <w:rFonts w:eastAsia="Calibri" w:cs="Calibri"/>
        </w:rPr>
        <w:t>If you have a technical question about completing the SAT, please refer to th</w:t>
      </w:r>
      <w:r w:rsidRPr="7D187541" w:rsidR="348C0E97">
        <w:rPr>
          <w:rFonts w:eastAsia="Calibri" w:cs="Calibri"/>
        </w:rPr>
        <w:t>is guidance document, th</w:t>
      </w:r>
      <w:r w:rsidRPr="7D187541" w:rsidR="3F23270B">
        <w:rPr>
          <w:rFonts w:eastAsia="Calibri" w:cs="Calibri"/>
        </w:rPr>
        <w:t>e</w:t>
      </w:r>
      <w:r w:rsidRPr="7D187541">
        <w:rPr>
          <w:rFonts w:eastAsia="Calibri" w:cs="Calibri"/>
        </w:rPr>
        <w:t xml:space="preserve"> </w:t>
      </w:r>
      <w:r w:rsidRPr="7D187541" w:rsidR="6060BD5A">
        <w:rPr>
          <w:rFonts w:eastAsia="Calibri" w:cs="Calibri"/>
        </w:rPr>
        <w:t>above video</w:t>
      </w:r>
      <w:r w:rsidRPr="7D187541" w:rsidR="00440690">
        <w:rPr>
          <w:rFonts w:eastAsia="Calibri" w:cs="Calibri"/>
        </w:rPr>
        <w:t xml:space="preserve">, </w:t>
      </w:r>
      <w:r w:rsidRPr="7D187541" w:rsidR="6ABEDA20">
        <w:rPr>
          <w:rFonts w:eastAsia="Calibri" w:cs="Calibri"/>
        </w:rPr>
        <w:t xml:space="preserve">worked SAT example </w:t>
      </w:r>
      <w:r w:rsidRPr="7D187541" w:rsidR="6060BD5A">
        <w:rPr>
          <w:rFonts w:eastAsia="Calibri" w:cs="Calibri"/>
        </w:rPr>
        <w:t xml:space="preserve">and the </w:t>
      </w:r>
      <w:r w:rsidRPr="7D187541">
        <w:rPr>
          <w:rFonts w:eastAsia="Calibri" w:cs="Calibri"/>
        </w:rPr>
        <w:t xml:space="preserve">FAQ at the end of this document. </w:t>
      </w:r>
      <w:r w:rsidRPr="7D187541" w:rsidR="2F9830DA">
        <w:rPr>
          <w:rFonts w:eastAsia="Calibri" w:cs="Calibri"/>
        </w:rPr>
        <w:t>If you need further assistance, d</w:t>
      </w:r>
      <w:r w:rsidRPr="7D187541" w:rsidR="2458AA76">
        <w:rPr>
          <w:rFonts w:eastAsia="Calibri" w:cs="Calibri"/>
        </w:rPr>
        <w:t>rop</w:t>
      </w:r>
      <w:r w:rsidRPr="7D187541" w:rsidR="00285B76">
        <w:rPr>
          <w:rFonts w:eastAsia="Calibri" w:cs="Calibri"/>
        </w:rPr>
        <w:t>-</w:t>
      </w:r>
      <w:r w:rsidRPr="7D187541" w:rsidR="2458AA76">
        <w:rPr>
          <w:rFonts w:eastAsia="Calibri" w:cs="Calibri"/>
        </w:rPr>
        <w:t xml:space="preserve">in sessions are also being organised </w:t>
      </w:r>
      <w:r w:rsidRPr="7D187541" w:rsidR="017B4E2A">
        <w:rPr>
          <w:rFonts w:eastAsia="Calibri" w:cs="Calibri"/>
        </w:rPr>
        <w:t xml:space="preserve">by our technical consultants Ricardo </w:t>
      </w:r>
      <w:r w:rsidRPr="7D187541" w:rsidR="2458AA76">
        <w:rPr>
          <w:rFonts w:eastAsia="Calibri" w:cs="Calibri"/>
        </w:rPr>
        <w:t>to support operators</w:t>
      </w:r>
      <w:r w:rsidRPr="7D187541" w:rsidR="000B6DE2">
        <w:rPr>
          <w:rFonts w:eastAsia="Calibri" w:cs="Calibri"/>
        </w:rPr>
        <w:t>, p</w:t>
      </w:r>
      <w:r w:rsidRPr="7D187541" w:rsidR="00CF0A31">
        <w:rPr>
          <w:rFonts w:eastAsia="Calibri" w:cs="Calibri"/>
        </w:rPr>
        <w:t>lease</w:t>
      </w:r>
      <w:r w:rsidRPr="7D187541" w:rsidR="2458AA76">
        <w:rPr>
          <w:rFonts w:eastAsia="Calibri" w:cs="Calibri"/>
        </w:rPr>
        <w:t xml:space="preserve"> contact your </w:t>
      </w:r>
      <w:r w:rsidRPr="7D187541" w:rsidR="00285B76">
        <w:rPr>
          <w:rFonts w:eastAsia="Calibri" w:cs="Calibri"/>
        </w:rPr>
        <w:t>S</w:t>
      </w:r>
      <w:r w:rsidRPr="7D187541" w:rsidR="212FAD19">
        <w:rPr>
          <w:rFonts w:eastAsia="Calibri" w:cs="Calibri"/>
        </w:rPr>
        <w:t xml:space="preserve">ector </w:t>
      </w:r>
      <w:r w:rsidRPr="7D187541" w:rsidR="00285B76">
        <w:rPr>
          <w:rFonts w:eastAsia="Calibri" w:cs="Calibri"/>
        </w:rPr>
        <w:t>A</w:t>
      </w:r>
      <w:r w:rsidRPr="7D187541" w:rsidR="7C639554">
        <w:rPr>
          <w:rFonts w:eastAsia="Calibri" w:cs="Calibri"/>
        </w:rPr>
        <w:t>ssociation</w:t>
      </w:r>
      <w:r w:rsidRPr="7D187541" w:rsidR="2458AA76">
        <w:rPr>
          <w:rFonts w:eastAsia="Calibri" w:cs="Calibri"/>
        </w:rPr>
        <w:t xml:space="preserve"> for more detail</w:t>
      </w:r>
      <w:r w:rsidRPr="7D187541" w:rsidR="1FF8618F">
        <w:rPr>
          <w:rFonts w:eastAsia="Calibri" w:cs="Calibri"/>
        </w:rPr>
        <w:t>s</w:t>
      </w:r>
      <w:r w:rsidRPr="7D187541" w:rsidR="000B6DE2">
        <w:rPr>
          <w:rFonts w:eastAsia="Calibri" w:cs="Calibri"/>
        </w:rPr>
        <w:t>.</w:t>
      </w:r>
    </w:p>
    <w:p w:rsidRPr="00FD69C0" w:rsidR="00FD69C0" w:rsidP="00D732A2" w:rsidRDefault="00FD69C0" w14:paraId="5AA1CBB4" w14:textId="77777777">
      <w:pPr>
        <w:pStyle w:val="ListParagraph"/>
        <w:jc w:val="both"/>
        <w:rPr>
          <w:rFonts w:eastAsia="Calibri" w:cs="Calibri"/>
        </w:rPr>
      </w:pPr>
    </w:p>
    <w:p w:rsidRPr="00711C2B" w:rsidR="00012AB1" w:rsidP="00D732A2" w:rsidRDefault="00012AB1" w14:paraId="3567EFFA" w14:textId="1772B0E3">
      <w:pPr>
        <w:pStyle w:val="ListParagraph"/>
        <w:numPr>
          <w:ilvl w:val="1"/>
          <w:numId w:val="7"/>
        </w:numPr>
        <w:spacing w:line="278" w:lineRule="auto"/>
        <w:ind w:left="431" w:hanging="431"/>
        <w:jc w:val="both"/>
      </w:pPr>
      <w:r>
        <w:t xml:space="preserve">The tool includes tabs to assess the energy savings opportunities arising from both energy demand and energy supply. </w:t>
      </w:r>
    </w:p>
    <w:tbl>
      <w:tblPr>
        <w:tblStyle w:val="TableGrid"/>
        <w:tblW w:w="10066" w:type="dxa"/>
        <w:tblLook w:val="04A0" w:firstRow="1" w:lastRow="0" w:firstColumn="1" w:lastColumn="0" w:noHBand="0" w:noVBand="1"/>
      </w:tblPr>
      <w:tblGrid>
        <w:gridCol w:w="1696"/>
        <w:gridCol w:w="8370"/>
      </w:tblGrid>
      <w:tr w:rsidRPr="00202DE3" w:rsidR="00012AB1" w:rsidTr="00E318A5" w14:paraId="373EB453" w14:textId="77777777">
        <w:trPr>
          <w:trHeight w:val="300"/>
        </w:trPr>
        <w:tc>
          <w:tcPr>
            <w:tcW w:w="1696" w:type="dxa"/>
          </w:tcPr>
          <w:p w:rsidRPr="00711C2B" w:rsidR="00012AB1" w:rsidP="00D732A2" w:rsidRDefault="00012AB1" w14:paraId="6F6E2B99" w14:textId="77777777">
            <w:pPr>
              <w:jc w:val="both"/>
              <w:rPr>
                <w:rStyle w:val="Boldtext"/>
              </w:rPr>
            </w:pPr>
            <w:r w:rsidRPr="00711C2B">
              <w:rPr>
                <w:rStyle w:val="Boldtext"/>
              </w:rPr>
              <w:t>Energy Demand</w:t>
            </w:r>
          </w:p>
        </w:tc>
        <w:tc>
          <w:tcPr>
            <w:tcW w:w="8370" w:type="dxa"/>
          </w:tcPr>
          <w:p w:rsidR="006D6660" w:rsidP="00D732A2" w:rsidRDefault="006D6660" w14:paraId="3341D26B" w14:textId="7F962385">
            <w:pPr>
              <w:pStyle w:val="DESNZbulletedlist"/>
              <w:numPr>
                <w:ilvl w:val="0"/>
                <w:numId w:val="0"/>
              </w:numPr>
              <w:jc w:val="both"/>
              <w:rPr>
                <w:rFonts w:ascii="Aptos" w:hAnsi="Aptos"/>
              </w:rPr>
            </w:pPr>
            <w:r>
              <w:rPr>
                <w:rFonts w:ascii="Aptos" w:hAnsi="Aptos"/>
              </w:rPr>
              <w:t xml:space="preserve">Tab 3: </w:t>
            </w:r>
          </w:p>
          <w:p w:rsidRPr="00711C2B" w:rsidR="00012AB1" w:rsidP="000155C3" w:rsidRDefault="00012AB1" w14:paraId="34E129FA" w14:textId="77777777">
            <w:pPr>
              <w:pStyle w:val="DESNZbulletedlist"/>
              <w:rPr>
                <w:rFonts w:ascii="Aptos" w:hAnsi="Aptos"/>
              </w:rPr>
            </w:pPr>
            <w:r w:rsidRPr="00711C2B">
              <w:rPr>
                <w:rFonts w:ascii="Aptos" w:hAnsi="Aptos"/>
              </w:rPr>
              <w:t>Process Optimisation (scope for changes to processes)</w:t>
            </w:r>
          </w:p>
          <w:p w:rsidRPr="00711C2B" w:rsidR="00012AB1" w:rsidP="000155C3" w:rsidRDefault="00012AB1" w14:paraId="49D477A8" w14:textId="77777777">
            <w:pPr>
              <w:pStyle w:val="DESNZbulletedlist"/>
              <w:rPr>
                <w:rFonts w:ascii="Aptos" w:hAnsi="Aptos"/>
              </w:rPr>
            </w:pPr>
            <w:r w:rsidRPr="00711C2B">
              <w:rPr>
                <w:rFonts w:ascii="Aptos" w:hAnsi="Aptos"/>
              </w:rPr>
              <w:t>Insulation improvements (heat demand reduction)</w:t>
            </w:r>
          </w:p>
          <w:p w:rsidRPr="0042243B" w:rsidR="006D6660" w:rsidP="000155C3" w:rsidRDefault="00012AB1" w14:paraId="76901313" w14:textId="77777777">
            <w:pPr>
              <w:pStyle w:val="DESNZbulletedlist"/>
              <w:rPr>
                <w:rFonts w:ascii="Aptos" w:hAnsi="Aptos"/>
              </w:rPr>
            </w:pPr>
            <w:r w:rsidRPr="0042243B">
              <w:rPr>
                <w:rFonts w:ascii="Aptos" w:hAnsi="Aptos"/>
              </w:rPr>
              <w:t>Infrastructure improvement (refurbishment/replacement of buildings/plant)</w:t>
            </w:r>
            <w:r w:rsidRPr="0042243B" w:rsidR="006D6660">
              <w:rPr>
                <w:rFonts w:ascii="Aptos" w:hAnsi="Aptos"/>
              </w:rPr>
              <w:t xml:space="preserve"> </w:t>
            </w:r>
          </w:p>
          <w:p w:rsidRPr="0042243B" w:rsidR="00012AB1" w:rsidP="000155C3" w:rsidRDefault="006D6660" w14:paraId="4395088D" w14:textId="0AC1EC73">
            <w:pPr>
              <w:pStyle w:val="DESNZbulletedlist"/>
              <w:rPr>
                <w:rFonts w:ascii="Aptos" w:hAnsi="Aptos"/>
              </w:rPr>
            </w:pPr>
            <w:r w:rsidRPr="0042243B">
              <w:rPr>
                <w:rFonts w:ascii="Aptos" w:hAnsi="Aptos"/>
              </w:rPr>
              <w:t>Energy management (optimisation of energy use)</w:t>
            </w:r>
          </w:p>
          <w:p w:rsidR="0003015D" w:rsidP="000155C3" w:rsidRDefault="0003015D" w14:paraId="18D2534A" w14:textId="77777777">
            <w:pPr>
              <w:pStyle w:val="DESNZbulletedlist"/>
              <w:ind w:left="714" w:hanging="357"/>
              <w:rPr>
                <w:rFonts w:ascii="Aptos" w:hAnsi="Aptos"/>
              </w:rPr>
            </w:pPr>
            <w:r w:rsidRPr="00711C2B">
              <w:rPr>
                <w:rFonts w:ascii="Aptos" w:hAnsi="Aptos"/>
              </w:rPr>
              <w:t>New Technology Uptake (Component and/or equipment replacement)</w:t>
            </w:r>
          </w:p>
          <w:p w:rsidRPr="00711C2B" w:rsidR="00AE3492" w:rsidP="000155C3" w:rsidRDefault="00AE3492" w14:paraId="76FF326F" w14:textId="519FC1F2">
            <w:pPr>
              <w:pStyle w:val="DESNZbulletedlist"/>
              <w:ind w:left="714" w:hanging="357"/>
              <w:rPr>
                <w:rFonts w:ascii="Aptos" w:hAnsi="Aptos"/>
              </w:rPr>
            </w:pPr>
            <w:r>
              <w:rPr>
                <w:rFonts w:ascii="Aptos" w:hAnsi="Aptos"/>
              </w:rPr>
              <w:t>Heat Recovery</w:t>
            </w:r>
          </w:p>
        </w:tc>
      </w:tr>
      <w:tr w:rsidRPr="00202DE3" w:rsidR="00012AB1" w:rsidTr="00E318A5" w14:paraId="7E2F1E0D" w14:textId="77777777">
        <w:trPr>
          <w:trHeight w:val="300"/>
        </w:trPr>
        <w:tc>
          <w:tcPr>
            <w:tcW w:w="1696" w:type="dxa"/>
          </w:tcPr>
          <w:p w:rsidRPr="00711C2B" w:rsidR="00012AB1" w:rsidP="00D732A2" w:rsidRDefault="00012AB1" w14:paraId="7B98B27C" w14:textId="77777777">
            <w:pPr>
              <w:jc w:val="both"/>
              <w:rPr>
                <w:rStyle w:val="Boldtext"/>
              </w:rPr>
            </w:pPr>
            <w:r w:rsidRPr="00711C2B">
              <w:rPr>
                <w:rStyle w:val="Boldtext"/>
              </w:rPr>
              <w:t>Energy Supply</w:t>
            </w:r>
          </w:p>
        </w:tc>
        <w:tc>
          <w:tcPr>
            <w:tcW w:w="8370" w:type="dxa"/>
          </w:tcPr>
          <w:p w:rsidRPr="00711C2B" w:rsidR="00012AB1" w:rsidP="00D732A2" w:rsidRDefault="006D6660" w14:paraId="2C043330" w14:textId="058CA415">
            <w:pPr>
              <w:pStyle w:val="DESNZbulletedlist"/>
              <w:numPr>
                <w:ilvl w:val="0"/>
                <w:numId w:val="0"/>
              </w:numPr>
              <w:ind w:left="357" w:hanging="328"/>
              <w:jc w:val="both"/>
              <w:rPr>
                <w:rFonts w:ascii="Aptos" w:hAnsi="Aptos"/>
              </w:rPr>
            </w:pPr>
            <w:r>
              <w:rPr>
                <w:rFonts w:ascii="Aptos" w:hAnsi="Aptos"/>
              </w:rPr>
              <w:t xml:space="preserve">Tab 4a: </w:t>
            </w:r>
            <w:r w:rsidRPr="00711C2B" w:rsidR="00012AB1">
              <w:rPr>
                <w:rFonts w:ascii="Aptos" w:hAnsi="Aptos"/>
              </w:rPr>
              <w:t>S</w:t>
            </w:r>
            <w:r w:rsidRPr="00711C2B" w:rsidR="00DF4D4E">
              <w:rPr>
                <w:rFonts w:ascii="Aptos" w:hAnsi="Aptos"/>
              </w:rPr>
              <w:t>upp</w:t>
            </w:r>
            <w:r w:rsidRPr="00711C2B" w:rsidR="00924053">
              <w:rPr>
                <w:rFonts w:ascii="Aptos" w:hAnsi="Aptos"/>
              </w:rPr>
              <w:t>ly side measures (</w:t>
            </w:r>
            <w:r w:rsidRPr="00711C2B" w:rsidR="005C4B15">
              <w:rPr>
                <w:rFonts w:ascii="Aptos" w:hAnsi="Aptos"/>
              </w:rPr>
              <w:t>e.g.</w:t>
            </w:r>
            <w:r w:rsidRPr="00711C2B" w:rsidR="00924053">
              <w:rPr>
                <w:rFonts w:ascii="Aptos" w:hAnsi="Aptos"/>
              </w:rPr>
              <w:t xml:space="preserve"> s</w:t>
            </w:r>
            <w:r w:rsidRPr="00711C2B" w:rsidR="00012AB1">
              <w:rPr>
                <w:rFonts w:ascii="Aptos" w:hAnsi="Aptos"/>
              </w:rPr>
              <w:t>witching Non-Renewable Fuel</w:t>
            </w:r>
            <w:r w:rsidRPr="00711C2B" w:rsidR="00924053">
              <w:rPr>
                <w:rFonts w:ascii="Aptos" w:hAnsi="Aptos"/>
              </w:rPr>
              <w:t xml:space="preserve">, </w:t>
            </w:r>
            <w:r w:rsidR="005C4B15">
              <w:rPr>
                <w:rFonts w:ascii="Aptos" w:hAnsi="Aptos"/>
              </w:rPr>
              <w:t>switching to Renewable Power</w:t>
            </w:r>
            <w:r w:rsidRPr="00711C2B" w:rsidR="00924053">
              <w:rPr>
                <w:rFonts w:ascii="Aptos" w:hAnsi="Aptos"/>
              </w:rPr>
              <w:t xml:space="preserve">, or </w:t>
            </w:r>
            <w:r w:rsidR="007B342F">
              <w:rPr>
                <w:rFonts w:ascii="Aptos" w:hAnsi="Aptos"/>
              </w:rPr>
              <w:t xml:space="preserve">switching to </w:t>
            </w:r>
            <w:r w:rsidRPr="00711C2B" w:rsidR="00924053">
              <w:rPr>
                <w:rFonts w:ascii="Aptos" w:hAnsi="Aptos"/>
              </w:rPr>
              <w:t>Biomass Heating)</w:t>
            </w:r>
          </w:p>
          <w:p w:rsidRPr="00711C2B" w:rsidR="00012AB1" w:rsidP="00D732A2" w:rsidRDefault="006D6660" w14:paraId="28AFDFF2" w14:textId="06B56FD8">
            <w:pPr>
              <w:pStyle w:val="DESNZbulletedlist"/>
              <w:numPr>
                <w:ilvl w:val="0"/>
                <w:numId w:val="0"/>
              </w:numPr>
              <w:ind w:left="717" w:hanging="688"/>
              <w:jc w:val="both"/>
              <w:rPr>
                <w:rFonts w:ascii="Aptos" w:hAnsi="Aptos"/>
              </w:rPr>
            </w:pPr>
            <w:r>
              <w:rPr>
                <w:rFonts w:ascii="Aptos" w:hAnsi="Aptos"/>
              </w:rPr>
              <w:t>Tab 4</w:t>
            </w:r>
            <w:r w:rsidR="005C4B15">
              <w:rPr>
                <w:rFonts w:ascii="Aptos" w:hAnsi="Aptos"/>
              </w:rPr>
              <w:t>b</w:t>
            </w:r>
            <w:r>
              <w:rPr>
                <w:rFonts w:ascii="Aptos" w:hAnsi="Aptos"/>
              </w:rPr>
              <w:t>:</w:t>
            </w:r>
            <w:r w:rsidRPr="006D6660" w:rsidDel="00DF4D4E">
              <w:rPr>
                <w:rFonts w:ascii="Aptos" w:hAnsi="Aptos"/>
              </w:rPr>
              <w:t xml:space="preserve"> </w:t>
            </w:r>
            <w:r w:rsidRPr="00711C2B" w:rsidR="005C4B15">
              <w:rPr>
                <w:rFonts w:ascii="Aptos" w:hAnsi="Aptos"/>
              </w:rPr>
              <w:t>Combined Heat and Power (CHP)</w:t>
            </w:r>
          </w:p>
        </w:tc>
      </w:tr>
    </w:tbl>
    <w:p w:rsidRPr="00711C2B" w:rsidR="00012AB1" w:rsidP="00D732A2" w:rsidRDefault="00012AB1" w14:paraId="330D1FE3" w14:textId="2C16CCCA">
      <w:pPr>
        <w:pStyle w:val="ListParagraph"/>
        <w:numPr>
          <w:ilvl w:val="1"/>
          <w:numId w:val="7"/>
        </w:numPr>
        <w:spacing w:before="120" w:line="278" w:lineRule="auto"/>
        <w:ind w:left="431" w:hanging="431"/>
        <w:jc w:val="both"/>
      </w:pPr>
      <w:r w:rsidRPr="00711C2B">
        <w:t>The tool provides results in:</w:t>
      </w:r>
    </w:p>
    <w:tbl>
      <w:tblPr>
        <w:tblStyle w:val="TableGrid"/>
        <w:tblW w:w="0" w:type="auto"/>
        <w:tblLook w:val="04A0" w:firstRow="1" w:lastRow="0" w:firstColumn="1" w:lastColumn="0" w:noHBand="0" w:noVBand="1"/>
      </w:tblPr>
      <w:tblGrid>
        <w:gridCol w:w="1839"/>
        <w:gridCol w:w="7320"/>
      </w:tblGrid>
      <w:tr w:rsidRPr="00202DE3" w:rsidR="00012AB1" w:rsidTr="0096538D" w14:paraId="27450A67" w14:textId="77777777">
        <w:trPr>
          <w:trHeight w:val="53"/>
        </w:trPr>
        <w:tc>
          <w:tcPr>
            <w:tcW w:w="1839" w:type="dxa"/>
          </w:tcPr>
          <w:p w:rsidRPr="00711C2B" w:rsidR="00012AB1" w:rsidP="00D732A2" w:rsidRDefault="00012AB1" w14:paraId="4E1A9CF3" w14:textId="77777777">
            <w:pPr>
              <w:jc w:val="both"/>
              <w:rPr>
                <w:rStyle w:val="Boldtext"/>
              </w:rPr>
            </w:pPr>
            <w:r w:rsidRPr="00711C2B">
              <w:rPr>
                <w:rStyle w:val="Boldtext"/>
              </w:rPr>
              <w:t>Savings Assessment Overview</w:t>
            </w:r>
          </w:p>
        </w:tc>
        <w:tc>
          <w:tcPr>
            <w:tcW w:w="7320" w:type="dxa"/>
          </w:tcPr>
          <w:p w:rsidRPr="00711C2B" w:rsidR="00012AB1" w:rsidP="00D732A2" w:rsidRDefault="00012AB1" w14:paraId="6E03EA6B" w14:textId="6D476E24">
            <w:pPr>
              <w:jc w:val="both"/>
            </w:pPr>
            <w:r w:rsidRPr="00711C2B">
              <w:t>This shows the cumulative percentage savings over the year, assessed in terms of energy consumption and carbon emissions.</w:t>
            </w:r>
          </w:p>
        </w:tc>
      </w:tr>
    </w:tbl>
    <w:p w:rsidR="00012AB1" w:rsidP="00D732A2" w:rsidRDefault="00012AB1" w14:paraId="65F04C84" w14:textId="77777777">
      <w:pPr>
        <w:pStyle w:val="ListParagraph"/>
        <w:numPr>
          <w:ilvl w:val="1"/>
          <w:numId w:val="7"/>
        </w:numPr>
        <w:spacing w:before="120" w:line="278" w:lineRule="auto"/>
        <w:ind w:left="431" w:hanging="431"/>
        <w:jc w:val="both"/>
      </w:pPr>
      <w:r w:rsidRPr="00711C2B">
        <w:t>A map of the Savings Assessment Tool tabs is shown below:</w:t>
      </w:r>
    </w:p>
    <w:p w:rsidRPr="00711C2B" w:rsidR="00C02428" w:rsidP="00D732A2" w:rsidRDefault="00C02428" w14:paraId="1A8BB6CA" w14:textId="18765C3E">
      <w:pPr>
        <w:jc w:val="both"/>
      </w:pPr>
      <w:r>
        <w:rPr>
          <w:noProof/>
        </w:rPr>
        <w:drawing>
          <wp:inline distT="0" distB="0" distL="0" distR="0" wp14:anchorId="422B380E" wp14:editId="7E026602">
            <wp:extent cx="6408420" cy="4642485"/>
            <wp:effectExtent l="0" t="0" r="0" b="5715"/>
            <wp:docPr id="13627789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9">
                      <a:extLst>
                        <a:ext uri="{28A0092B-C50C-407E-A947-70E740481C1C}">
                          <a14:useLocalDpi xmlns:a14="http://schemas.microsoft.com/office/drawing/2010/main" val="0"/>
                        </a:ext>
                      </a:extLst>
                    </a:blip>
                    <a:stretch>
                      <a:fillRect/>
                    </a:stretch>
                  </pic:blipFill>
                  <pic:spPr>
                    <a:xfrm>
                      <a:off x="0" y="0"/>
                      <a:ext cx="6408420" cy="4642485"/>
                    </a:xfrm>
                    <a:prstGeom prst="rect">
                      <a:avLst/>
                    </a:prstGeom>
                  </pic:spPr>
                </pic:pic>
              </a:graphicData>
            </a:graphic>
          </wp:inline>
        </w:drawing>
      </w:r>
    </w:p>
    <w:p w:rsidR="00F51A15" w:rsidP="00D732A2" w:rsidRDefault="00F51A15" w14:paraId="5C20C071" w14:textId="38EE065D">
      <w:pPr>
        <w:pStyle w:val="ListParagraph"/>
        <w:numPr>
          <w:ilvl w:val="1"/>
          <w:numId w:val="7"/>
        </w:numPr>
        <w:spacing w:line="278" w:lineRule="auto"/>
        <w:ind w:left="431" w:hanging="431"/>
        <w:jc w:val="both"/>
      </w:pPr>
      <w:r w:rsidRPr="59634107">
        <w:t xml:space="preserve">The savings are estimated in terms of energy demand savings and energy supply savings. The anticipated year in which improvements are likely to be made can be assigned to give an annual profile of savings. </w:t>
      </w:r>
    </w:p>
    <w:p w:rsidRPr="00711C2B" w:rsidR="007674F8" w:rsidP="00D732A2" w:rsidRDefault="007674F8" w14:paraId="4F8D8280" w14:textId="77777777">
      <w:pPr>
        <w:pStyle w:val="ListParagraph"/>
        <w:spacing w:line="278" w:lineRule="auto"/>
        <w:ind w:left="431"/>
        <w:jc w:val="both"/>
      </w:pPr>
    </w:p>
    <w:p w:rsidR="00F51A15" w:rsidP="00D732A2" w:rsidRDefault="00F51A15" w14:paraId="6F838F08" w14:textId="3BD86DA4">
      <w:pPr>
        <w:pStyle w:val="ListParagraph"/>
        <w:numPr>
          <w:ilvl w:val="1"/>
          <w:numId w:val="7"/>
        </w:numPr>
        <w:spacing w:line="278" w:lineRule="auto"/>
        <w:ind w:left="431" w:hanging="431"/>
        <w:jc w:val="both"/>
      </w:pPr>
      <w:r w:rsidRPr="59634107">
        <w:t xml:space="preserve">The tool does not set any limits on the opportunities that should be accounted for, such as only covering measures with a payback of less than 6 years. This is because payback is only one factor affecting whether a saving measure may be implemented - its cost, impact and the need for it are others. It may be that an existing expensive piece of equipment has come to the end of its life and must be replaced, even though it has a long payback. The tool seeks to capture the true extent of savings opportunities to enable discussion and negotiation of what is likely to be implemented. </w:t>
      </w:r>
    </w:p>
    <w:p w:rsidRPr="00711C2B" w:rsidR="00F51A15" w:rsidP="00D732A2" w:rsidRDefault="00F51A15" w14:paraId="1766569C" w14:textId="74982F0F">
      <w:pPr>
        <w:jc w:val="both"/>
      </w:pPr>
      <w:r w:rsidRPr="59634107">
        <w:rPr>
          <w:b/>
          <w:bCs/>
        </w:rPr>
        <w:t>Within each tab, data input is only required in the green cells</w:t>
      </w:r>
      <w:r w:rsidRPr="59634107">
        <w:t>. There are many calculations included in the tabs, which do not need to be considered by the Operator.</w:t>
      </w:r>
    </w:p>
    <w:p w:rsidRPr="00711C2B" w:rsidR="00012AB1" w:rsidP="00D732A2" w:rsidRDefault="00FA189F" w14:paraId="47FC7E2D" w14:textId="73082E42">
      <w:pPr>
        <w:pStyle w:val="Heading1"/>
        <w:numPr>
          <w:ilvl w:val="0"/>
          <w:numId w:val="7"/>
        </w:numPr>
        <w:jc w:val="both"/>
        <w:rPr>
          <w:rFonts w:ascii="Aptos" w:hAnsi="Aptos"/>
        </w:rPr>
      </w:pPr>
      <w:bookmarkStart w:name="_Toc190700709" w:id="7"/>
      <w:r>
        <w:rPr>
          <w:rFonts w:ascii="Aptos" w:hAnsi="Aptos"/>
        </w:rPr>
        <w:t xml:space="preserve">Facility </w:t>
      </w:r>
      <w:r w:rsidR="006A557F">
        <w:rPr>
          <w:rFonts w:ascii="Aptos" w:hAnsi="Aptos"/>
        </w:rPr>
        <w:t>Details and Base Year Energy Consumption</w:t>
      </w:r>
      <w:bookmarkEnd w:id="7"/>
    </w:p>
    <w:p w:rsidR="0024623A" w:rsidP="00D732A2" w:rsidRDefault="00012AB1" w14:paraId="3C815199" w14:textId="644DA359">
      <w:pPr>
        <w:pStyle w:val="ListParagraph"/>
        <w:numPr>
          <w:ilvl w:val="1"/>
          <w:numId w:val="7"/>
        </w:numPr>
        <w:spacing w:line="278" w:lineRule="auto"/>
        <w:ind w:left="431" w:hanging="431"/>
        <w:jc w:val="both"/>
      </w:pPr>
      <w:r w:rsidRPr="00711C2B">
        <w:t xml:space="preserve">The tool requires some details about the Facility to be inputted to the </w:t>
      </w:r>
      <w:r w:rsidRPr="0024623A">
        <w:rPr>
          <w:b/>
        </w:rPr>
        <w:t>Facility Details tab</w:t>
      </w:r>
      <w:r w:rsidRPr="00711C2B">
        <w:t>. The data input is self-explanatory and includes information on any non-standard fuels used.</w:t>
      </w:r>
    </w:p>
    <w:p w:rsidR="0024623A" w:rsidP="00D732A2" w:rsidRDefault="0024623A" w14:paraId="3D868865" w14:textId="77777777">
      <w:pPr>
        <w:pStyle w:val="ListParagraph"/>
        <w:spacing w:line="278" w:lineRule="auto"/>
        <w:ind w:left="431"/>
        <w:jc w:val="both"/>
      </w:pPr>
    </w:p>
    <w:p w:rsidRPr="0024623A" w:rsidR="0024623A" w:rsidP="00D732A2" w:rsidRDefault="00BA77F1" w14:paraId="442B7F9D" w14:textId="6A8D5F65">
      <w:pPr>
        <w:pStyle w:val="ListParagraph"/>
        <w:numPr>
          <w:ilvl w:val="1"/>
          <w:numId w:val="7"/>
        </w:numPr>
        <w:spacing w:line="278" w:lineRule="auto"/>
        <w:ind w:left="431" w:hanging="431"/>
        <w:jc w:val="both"/>
        <w:rPr>
          <w:b/>
        </w:rPr>
      </w:pPr>
      <w:r w:rsidRPr="59634107">
        <w:rPr>
          <w:b/>
          <w:bCs/>
        </w:rPr>
        <w:t>In this tab, the following information is required:</w:t>
      </w:r>
    </w:p>
    <w:p w:rsidRPr="001C174A" w:rsidR="001C174A" w:rsidP="00D732A2" w:rsidRDefault="3AD47612" w14:paraId="112F1463" w14:textId="20333FA4">
      <w:pPr>
        <w:pStyle w:val="ListParagraph"/>
        <w:numPr>
          <w:ilvl w:val="2"/>
          <w:numId w:val="7"/>
        </w:numPr>
        <w:spacing w:line="278" w:lineRule="auto"/>
        <w:jc w:val="both"/>
      </w:pPr>
      <w:r w:rsidRPr="0024623A">
        <w:rPr>
          <w:b/>
          <w:bCs/>
        </w:rPr>
        <w:t>Facility Identity</w:t>
      </w:r>
      <w:r>
        <w:t>: The Facility Reference Number</w:t>
      </w:r>
      <w:r w:rsidR="42EC67CF">
        <w:t xml:space="preserve"> (Facility ID from current CCA scheme)</w:t>
      </w:r>
      <w:r>
        <w:t>, which should be issued by your Sector Association, and/or the facility’s name and address</w:t>
      </w:r>
      <w:r w:rsidR="00D73DC4">
        <w:t xml:space="preserve"> [</w:t>
      </w:r>
      <w:r w:rsidRPr="003F764D" w:rsidR="00D73DC4">
        <w:rPr>
          <w:u w:val="single"/>
        </w:rPr>
        <w:t xml:space="preserve">to </w:t>
      </w:r>
      <w:r w:rsidRPr="003F764D" w:rsidR="00430486">
        <w:rPr>
          <w:u w:val="single"/>
        </w:rPr>
        <w:t xml:space="preserve">note, if you are a sole trader, please repeat your facility name in the facility </w:t>
      </w:r>
      <w:r w:rsidRPr="003F764D" w:rsidR="005877CC">
        <w:rPr>
          <w:u w:val="single"/>
        </w:rPr>
        <w:t>address box</w:t>
      </w:r>
      <w:r w:rsidR="00D73DC4">
        <w:t>]</w:t>
      </w:r>
      <w:r w:rsidR="005877CC">
        <w:t>.</w:t>
      </w:r>
    </w:p>
    <w:p w:rsidR="0024623A" w:rsidP="00D732A2" w:rsidRDefault="51357BA5" w14:paraId="5D4EF27F" w14:textId="6CDF2B41">
      <w:pPr>
        <w:pStyle w:val="ListParagraph"/>
        <w:numPr>
          <w:ilvl w:val="2"/>
          <w:numId w:val="7"/>
        </w:numPr>
        <w:spacing w:line="278" w:lineRule="auto"/>
        <w:jc w:val="both"/>
      </w:pPr>
      <w:r w:rsidRPr="0024623A">
        <w:rPr>
          <w:b/>
          <w:bCs/>
        </w:rPr>
        <w:t>Facility Assessment Considerations</w:t>
      </w:r>
      <w:r>
        <w:t>: Yes/No questions regarding ETS</w:t>
      </w:r>
      <w:r w:rsidR="00D9389F">
        <w:t xml:space="preserve"> participation</w:t>
      </w:r>
      <w:r w:rsidR="7224F1C1">
        <w:t>.</w:t>
      </w:r>
      <w:r w:rsidR="00CD4DF1">
        <w:t xml:space="preserve"> </w:t>
      </w:r>
    </w:p>
    <w:p w:rsidRPr="0024623A" w:rsidR="0024623A" w:rsidP="00D732A2" w:rsidRDefault="6529855A" w14:paraId="0718F4CB" w14:textId="3785DE8E">
      <w:pPr>
        <w:pStyle w:val="ListParagraph"/>
        <w:numPr>
          <w:ilvl w:val="2"/>
          <w:numId w:val="7"/>
        </w:numPr>
        <w:spacing w:line="278" w:lineRule="auto"/>
        <w:jc w:val="both"/>
      </w:pPr>
      <w:r w:rsidRPr="0024623A">
        <w:rPr>
          <w:b/>
          <w:bCs/>
        </w:rPr>
        <w:t>Facility Base Year</w:t>
      </w:r>
      <w:r>
        <w:t>: This should be 2022</w:t>
      </w:r>
      <w:r w:rsidR="202D23B6">
        <w:t>.</w:t>
      </w:r>
      <w:r w:rsidR="6285A636">
        <w:t xml:space="preserve"> </w:t>
      </w:r>
      <w:r w:rsidR="1A392F71">
        <w:t>Facilities that were in production prior to 2022 need to enter 1</w:t>
      </w:r>
      <w:r w:rsidRPr="0024623A" w:rsidR="1A392F71">
        <w:rPr>
          <w:vertAlign w:val="superscript"/>
        </w:rPr>
        <w:t>st</w:t>
      </w:r>
      <w:r w:rsidR="1A392F71">
        <w:t xml:space="preserve"> January 2022 – this is set as the default. </w:t>
      </w:r>
      <w:r w:rsidRPr="0024623A" w:rsidR="6285A636">
        <w:rPr>
          <w:rFonts w:eastAsia="Aptos Narrow" w:cs="Aptos Narrow"/>
          <w:lang w:val="en-US"/>
        </w:rPr>
        <w:t xml:space="preserve">Facilities that may have joined the scheme part way through 2022 should enter 12 months data from the point the facilities entered the scheme. If there are circumstances in which a facility had partial closures in 2022, please can this be made known to your Sector Association and </w:t>
      </w:r>
      <w:r w:rsidRPr="0024623A" w:rsidR="7AAA8244">
        <w:rPr>
          <w:rFonts w:eastAsia="Aptos Narrow" w:cs="Aptos Narrow"/>
          <w:lang w:val="en-US"/>
        </w:rPr>
        <w:t>copy in</w:t>
      </w:r>
      <w:r w:rsidRPr="0024623A" w:rsidR="6285A636">
        <w:rPr>
          <w:rFonts w:eastAsia="Aptos Narrow" w:cs="Aptos Narrow"/>
          <w:lang w:val="en-US"/>
        </w:rPr>
        <w:t xml:space="preserve"> DESNZ </w:t>
      </w:r>
      <w:r w:rsidRPr="0024623A" w:rsidR="0916D47B">
        <w:rPr>
          <w:rFonts w:eastAsia="Aptos Narrow" w:cs="Aptos Narrow"/>
          <w:lang w:val="en-US"/>
        </w:rPr>
        <w:t>(</w:t>
      </w:r>
      <w:hyperlink w:history="1" r:id="rId20">
        <w:r w:rsidRPr="00886040" w:rsidR="00886040">
          <w:rPr>
            <w:rStyle w:val="Hyperlink"/>
            <w:rFonts w:eastAsia="Aptos Narrow" w:cs="Aptos Narrow"/>
            <w:lang w:val="en-US"/>
          </w:rPr>
          <w:t>cca@energysecurity.gov.uk</w:t>
        </w:r>
      </w:hyperlink>
      <w:r w:rsidRPr="0024623A" w:rsidR="0916D47B">
        <w:rPr>
          <w:rFonts w:eastAsia="Aptos Narrow" w:cs="Aptos Narrow"/>
          <w:lang w:val="en-US"/>
        </w:rPr>
        <w:t>)</w:t>
      </w:r>
      <w:r w:rsidRPr="0024623A" w:rsidR="6285A636">
        <w:rPr>
          <w:rFonts w:eastAsia="Aptos Narrow" w:cs="Aptos Narrow"/>
          <w:lang w:val="en-US"/>
        </w:rPr>
        <w:t xml:space="preserve"> at the earliest convenience. DESNZ will then take this away for review with Ricardo and the EA on a case-by-case basis.</w:t>
      </w:r>
    </w:p>
    <w:p w:rsidR="00BA77F1" w:rsidP="00D732A2" w:rsidRDefault="51357BA5" w14:paraId="611761E9" w14:textId="50F24A2C">
      <w:pPr>
        <w:pStyle w:val="ListParagraph"/>
        <w:numPr>
          <w:ilvl w:val="2"/>
          <w:numId w:val="7"/>
        </w:numPr>
        <w:spacing w:line="278" w:lineRule="auto"/>
        <w:jc w:val="both"/>
      </w:pPr>
      <w:r w:rsidRPr="59634107">
        <w:rPr>
          <w:b/>
          <w:bCs/>
        </w:rPr>
        <w:t>Facility Energy Types Consumed</w:t>
      </w:r>
      <w:r w:rsidRPr="59634107">
        <w:t>: Please add any fuels used in the facility that are not included in the provided list into cells C4</w:t>
      </w:r>
      <w:r w:rsidRPr="59634107" w:rsidR="21DA0F2D">
        <w:t>7</w:t>
      </w:r>
      <w:r w:rsidRPr="59634107">
        <w:t>:C5</w:t>
      </w:r>
      <w:r w:rsidRPr="59634107" w:rsidR="21DA0F2D">
        <w:t>7</w:t>
      </w:r>
      <w:r w:rsidRPr="59634107">
        <w:t>.</w:t>
      </w:r>
      <w:r w:rsidRPr="59634107" w:rsidR="001458BC">
        <w:t xml:space="preserve"> If the facility consumes kerosene, petrol, refinery gas, or any additional fuel, please enter the Gross Calorific Value Conversion Factor.</w:t>
      </w:r>
    </w:p>
    <w:p w:rsidRPr="00BD0C4D" w:rsidR="0024623A" w:rsidP="00D732A2" w:rsidRDefault="0024623A" w14:paraId="2CA7F743" w14:textId="77777777">
      <w:pPr>
        <w:pStyle w:val="ListParagraph"/>
        <w:spacing w:line="278" w:lineRule="auto"/>
        <w:ind w:left="1080"/>
        <w:jc w:val="both"/>
      </w:pPr>
    </w:p>
    <w:p w:rsidR="0024623A" w:rsidP="00D732A2" w:rsidRDefault="00012AB1" w14:paraId="48243ED6" w14:textId="05F99F2C">
      <w:pPr>
        <w:pStyle w:val="ListParagraph"/>
        <w:numPr>
          <w:ilvl w:val="1"/>
          <w:numId w:val="7"/>
        </w:numPr>
        <w:spacing w:line="278" w:lineRule="auto"/>
        <w:ind w:left="431" w:hanging="431"/>
        <w:jc w:val="both"/>
      </w:pPr>
      <w:r w:rsidRPr="59634107">
        <w:t xml:space="preserve">The tool assesses the savings potential against </w:t>
      </w:r>
      <w:r w:rsidRPr="59634107" w:rsidR="47EAAB58">
        <w:t xml:space="preserve">2022 </w:t>
      </w:r>
      <w:r w:rsidRPr="59634107">
        <w:t xml:space="preserve">Base Year energy consumption data. </w:t>
      </w:r>
      <w:r w:rsidRPr="59634107">
        <w:rPr>
          <w:b/>
          <w:bCs/>
        </w:rPr>
        <w:t xml:space="preserve">Note the </w:t>
      </w:r>
      <w:r w:rsidRPr="59634107">
        <w:rPr>
          <w:b/>
          <w:bCs/>
          <w:u w:val="single"/>
        </w:rPr>
        <w:t>delivered</w:t>
      </w:r>
      <w:r w:rsidRPr="59634107">
        <w:rPr>
          <w:b/>
          <w:bCs/>
        </w:rPr>
        <w:t xml:space="preserve"> electricity data must be provided, not primary as is required in CCA reporting.</w:t>
      </w:r>
      <w:r w:rsidRPr="59634107">
        <w:t xml:space="preserve"> This is because the conversion factor currently used to convert delivered electricity into primary fuel consumption is built into all calculations and may be varied at one point in the whole workbook (in the Facility Details tab). </w:t>
      </w:r>
    </w:p>
    <w:p w:rsidR="0024623A" w:rsidP="00D732A2" w:rsidRDefault="0024623A" w14:paraId="16A5EC45" w14:textId="77777777">
      <w:pPr>
        <w:pStyle w:val="ListParagraph"/>
        <w:spacing w:line="278" w:lineRule="auto"/>
        <w:ind w:left="431"/>
        <w:jc w:val="both"/>
      </w:pPr>
    </w:p>
    <w:p w:rsidR="0024623A" w:rsidP="00D732A2" w:rsidRDefault="00537CBB" w14:paraId="318B72EE" w14:textId="1180896B">
      <w:pPr>
        <w:pStyle w:val="ListParagraph"/>
        <w:numPr>
          <w:ilvl w:val="1"/>
          <w:numId w:val="7"/>
        </w:numPr>
        <w:spacing w:line="278" w:lineRule="auto"/>
        <w:ind w:left="431" w:hanging="431"/>
        <w:jc w:val="both"/>
      </w:pPr>
      <w:r>
        <w:t xml:space="preserve">In the </w:t>
      </w:r>
      <w:r w:rsidRPr="0024623A">
        <w:rPr>
          <w:b/>
        </w:rPr>
        <w:t>Base Year Energy Consumption tab</w:t>
      </w:r>
      <w:r>
        <w:t>, i</w:t>
      </w:r>
      <w:r w:rsidRPr="00711C2B">
        <w:t xml:space="preserve">n </w:t>
      </w:r>
      <w:r w:rsidRPr="00711C2B" w:rsidR="00012AB1">
        <w:t>addition to the energy breakdown, data must be provided on:</w:t>
      </w:r>
    </w:p>
    <w:p w:rsidR="00C97B9B" w:rsidP="00D732A2" w:rsidRDefault="00C97B9B" w14:paraId="145B4DA2" w14:textId="6036C6EE">
      <w:pPr>
        <w:pStyle w:val="ListParagraph"/>
        <w:numPr>
          <w:ilvl w:val="2"/>
          <w:numId w:val="7"/>
        </w:numPr>
        <w:spacing w:line="278" w:lineRule="auto"/>
        <w:jc w:val="both"/>
      </w:pPr>
      <w:r>
        <w:t>The carbon factor associated with the non-renewable fuel used to generate the electricity included in row 19</w:t>
      </w:r>
      <w:r w:rsidR="3EF6EFA5">
        <w:t>,</w:t>
      </w:r>
      <w:r>
        <w:t xml:space="preserve"> </w:t>
      </w:r>
      <w:r w:rsidR="7294F50C">
        <w:t xml:space="preserve">which </w:t>
      </w:r>
      <w:r>
        <w:t>should be</w:t>
      </w:r>
      <w:r w:rsidR="4AA4C481">
        <w:t xml:space="preserve"> entered</w:t>
      </w:r>
      <w:r>
        <w:t xml:space="preserve"> in D19.</w:t>
      </w:r>
    </w:p>
    <w:p w:rsidR="00012AB1" w:rsidP="00D732A2" w:rsidRDefault="00012AB1" w14:paraId="4DC4F079" w14:textId="02E96EBC">
      <w:pPr>
        <w:pStyle w:val="ListParagraph"/>
        <w:numPr>
          <w:ilvl w:val="2"/>
          <w:numId w:val="7"/>
        </w:numPr>
        <w:spacing w:line="278" w:lineRule="auto"/>
        <w:jc w:val="both"/>
      </w:pPr>
      <w:r w:rsidRPr="0024623A">
        <w:t>The carbon factors for any non-standard fuels used</w:t>
      </w:r>
      <w:r w:rsidR="008A0155">
        <w:t xml:space="preserve">; they should be </w:t>
      </w:r>
      <w:r w:rsidR="00B9676C">
        <w:t>included in D32:D42</w:t>
      </w:r>
      <w:r w:rsidRPr="0024623A">
        <w:t>.</w:t>
      </w:r>
    </w:p>
    <w:p w:rsidR="0024623A" w:rsidP="00D732A2" w:rsidRDefault="0024623A" w14:paraId="1A4E20FD" w14:textId="20DFC471">
      <w:pPr>
        <w:pStyle w:val="ListParagraph"/>
        <w:numPr>
          <w:ilvl w:val="2"/>
          <w:numId w:val="7"/>
        </w:numPr>
        <w:spacing w:line="278" w:lineRule="auto"/>
        <w:jc w:val="both"/>
      </w:pPr>
      <w:r>
        <w:t xml:space="preserve">The total </w:t>
      </w:r>
      <w:r w:rsidRPr="0024623A">
        <w:rPr>
          <w:b/>
          <w:bCs/>
        </w:rPr>
        <w:t>delivered</w:t>
      </w:r>
      <w:r>
        <w:t xml:space="preserve"> energy consumption including UK ETS and estimated fixed and variable energy consumption by </w:t>
      </w:r>
      <w:r w:rsidRPr="43661438">
        <w:t xml:space="preserve">product excluding ETS for each fuel. </w:t>
      </w:r>
      <w:r w:rsidRPr="00CD4DF1" w:rsidR="00D9389F">
        <w:t>Fixed energy consumption is the amount of energy consumed that is not a function of the facility's production activity.</w:t>
      </w:r>
      <w:r w:rsidR="00D9389F">
        <w:t xml:space="preserve"> </w:t>
      </w:r>
      <w:r w:rsidRPr="00CD4DF1" w:rsidR="00D9389F">
        <w:t>In contrast, variable energy consumption depends on production activity.</w:t>
      </w:r>
      <w:r w:rsidR="00D9389F">
        <w:t xml:space="preserve"> </w:t>
      </w:r>
      <w:r w:rsidRPr="43661438">
        <w:t xml:space="preserve">For more information on how to estimate those values, please refer to Annex A of the </w:t>
      </w:r>
      <w:hyperlink r:id="rId21">
        <w:r w:rsidRPr="43661438">
          <w:rPr>
            <w:rStyle w:val="Hyperlink"/>
          </w:rPr>
          <w:t>Government Response to Climate Change Agreements: Consultation on a New Scheme</w:t>
        </w:r>
      </w:hyperlink>
      <w:r>
        <w:t>.</w:t>
      </w:r>
    </w:p>
    <w:p w:rsidR="006F56F5" w:rsidP="00D732A2" w:rsidRDefault="6E4D09EE" w14:paraId="60AB90EE" w14:textId="0E63C48F">
      <w:pPr>
        <w:pStyle w:val="ListParagraph"/>
        <w:numPr>
          <w:ilvl w:val="2"/>
          <w:numId w:val="7"/>
        </w:numPr>
        <w:spacing w:line="278" w:lineRule="auto"/>
        <w:jc w:val="both"/>
      </w:pPr>
      <w:r w:rsidRPr="0024623A">
        <w:t>The p</w:t>
      </w:r>
      <w:r w:rsidRPr="0024623A" w:rsidR="40AFD0E1">
        <w:t xml:space="preserve">roduction </w:t>
      </w:r>
      <w:r w:rsidRPr="0024623A" w:rsidR="520D41ED">
        <w:t>amount and its associated unit for each relevant product</w:t>
      </w:r>
      <w:r w:rsidRPr="0024623A" w:rsidR="106D7A92">
        <w:t>.</w:t>
      </w:r>
      <w:r w:rsidRPr="0024623A" w:rsidR="51B630A9">
        <w:t xml:space="preserve"> </w:t>
      </w:r>
    </w:p>
    <w:p w:rsidR="0024623A" w:rsidP="00D732A2" w:rsidRDefault="0024623A" w14:paraId="0F1FF7D1" w14:textId="6CB2557A">
      <w:pPr>
        <w:pStyle w:val="ListParagraph"/>
        <w:numPr>
          <w:ilvl w:val="2"/>
          <w:numId w:val="7"/>
        </w:numPr>
        <w:spacing w:line="278" w:lineRule="auto"/>
        <w:jc w:val="both"/>
      </w:pPr>
      <w:r w:rsidRPr="59634107">
        <w:t xml:space="preserve">Production data should split into groups of products that cover all eligible energy in the scheme. You should consider how to group the products, particularly </w:t>
      </w:r>
      <w:proofErr w:type="gramStart"/>
      <w:r w:rsidRPr="59634107">
        <w:t>taking into account</w:t>
      </w:r>
      <w:proofErr w:type="gramEnd"/>
      <w:r w:rsidRPr="59634107">
        <w:t xml:space="preserve"> scope for changes to product mix and energy intensity.</w:t>
      </w:r>
    </w:p>
    <w:p w:rsidR="0024623A" w:rsidP="00D732A2" w:rsidRDefault="0024623A" w14:paraId="26443B03" w14:textId="5D5D064E">
      <w:pPr>
        <w:pStyle w:val="ListParagraph"/>
        <w:numPr>
          <w:ilvl w:val="2"/>
          <w:numId w:val="7"/>
        </w:numPr>
        <w:spacing w:line="278" w:lineRule="auto"/>
        <w:jc w:val="both"/>
      </w:pPr>
      <w:r w:rsidRPr="59634107">
        <w:t>An operator</w:t>
      </w:r>
      <w:r w:rsidRPr="59634107" w:rsidR="00CF568A">
        <w:t xml:space="preserve"> is allowed to allocate all their energy consumption to the non-physical product, i.e., the fixed energy component. Only in this case, product </w:t>
      </w:r>
      <w:proofErr w:type="gramStart"/>
      <w:r w:rsidRPr="59634107" w:rsidR="00CF568A">
        <w:t>units</w:t>
      </w:r>
      <w:proofErr w:type="gramEnd"/>
      <w:r w:rsidRPr="59634107" w:rsidR="00CF568A">
        <w:t xml:space="preserve"> information and throughput will need to be included in column H.</w:t>
      </w:r>
    </w:p>
    <w:p w:rsidR="00CF568A" w:rsidP="00D732A2" w:rsidRDefault="00CF568A" w14:paraId="128D845D" w14:textId="2FF45700">
      <w:pPr>
        <w:pStyle w:val="ListParagraph"/>
        <w:numPr>
          <w:ilvl w:val="2"/>
          <w:numId w:val="7"/>
        </w:numPr>
        <w:spacing w:line="278" w:lineRule="auto"/>
        <w:jc w:val="both"/>
      </w:pPr>
      <w:r>
        <w:t>Any direct fuel used for steam or hot water.</w:t>
      </w:r>
    </w:p>
    <w:p w:rsidRPr="0024623A" w:rsidR="00CF568A" w:rsidP="00D732A2" w:rsidRDefault="00CF568A" w14:paraId="6C2D3425" w14:textId="77777777">
      <w:pPr>
        <w:pStyle w:val="ListParagraph"/>
        <w:spacing w:line="278" w:lineRule="auto"/>
        <w:ind w:left="1080"/>
        <w:jc w:val="both"/>
      </w:pPr>
    </w:p>
    <w:p w:rsidRPr="00711C2B" w:rsidR="00CF568A" w:rsidP="00D732A2" w:rsidRDefault="00012AB1" w14:paraId="602F2A97" w14:textId="6C7710DC">
      <w:pPr>
        <w:pStyle w:val="ListParagraph"/>
        <w:numPr>
          <w:ilvl w:val="1"/>
          <w:numId w:val="7"/>
        </w:numPr>
        <w:spacing w:line="278" w:lineRule="auto"/>
        <w:ind w:left="431" w:hanging="431"/>
        <w:jc w:val="both"/>
      </w:pPr>
      <w:r w:rsidRPr="59634107">
        <w:t xml:space="preserve">The savings </w:t>
      </w:r>
      <w:r w:rsidRPr="59634107" w:rsidR="009A5DC7">
        <w:t xml:space="preserve">covered in tabs </w:t>
      </w:r>
      <w:r w:rsidRPr="59634107" w:rsidR="0001628F">
        <w:t xml:space="preserve">3, 4a and 4b </w:t>
      </w:r>
      <w:r w:rsidRPr="59634107">
        <w:t>are estimated in terms of energy demand savings and energy supply savings.</w:t>
      </w:r>
      <w:r w:rsidRPr="59634107" w:rsidR="006067B8">
        <w:t xml:space="preserve"> </w:t>
      </w:r>
      <w:r w:rsidRPr="59634107">
        <w:t xml:space="preserve">The anticipated year in which improvements are likely to be made can be assigned to give an annual profile of savings. </w:t>
      </w:r>
    </w:p>
    <w:p w:rsidR="00CF568A" w:rsidP="00D732A2" w:rsidRDefault="00CF568A" w14:paraId="60E368DE" w14:textId="77777777">
      <w:pPr>
        <w:pStyle w:val="ListParagraph"/>
        <w:spacing w:line="278" w:lineRule="auto"/>
        <w:ind w:left="431"/>
        <w:jc w:val="both"/>
      </w:pPr>
    </w:p>
    <w:p w:rsidRPr="00711C2B" w:rsidR="00CF568A" w:rsidP="00D732A2" w:rsidRDefault="00012AB1" w14:paraId="099DC444" w14:textId="63F2310B">
      <w:pPr>
        <w:pStyle w:val="ListParagraph"/>
        <w:numPr>
          <w:ilvl w:val="1"/>
          <w:numId w:val="7"/>
        </w:numPr>
        <w:spacing w:line="278" w:lineRule="auto"/>
        <w:ind w:left="431" w:hanging="431"/>
        <w:jc w:val="both"/>
      </w:pPr>
      <w:r w:rsidRPr="59634107">
        <w:t xml:space="preserve">The tool does not set any limits on the opportunities that should be accounted for, such as only covering measures with a payback of less than 6 years. This is because payback is only one factor affecting whether a saving measure may be implemented - its cost, impact and the need for it are others. It may be that an existing expensive piece of equipment has come to the end of its life and must be replaced, even though it has a long payback. </w:t>
      </w:r>
      <w:r w:rsidRPr="59634107" w:rsidR="001C365A">
        <w:t xml:space="preserve">A key aim of the new scheme is to drive additional energy and carbon savings in exchange for substantive CCL relief from 2027-2033. In entering demand-side and supply-side measures </w:t>
      </w:r>
      <w:r w:rsidRPr="59634107" w:rsidR="00B00D48">
        <w:t xml:space="preserve">that facilities </w:t>
      </w:r>
      <w:r w:rsidRPr="59634107" w:rsidR="00D24640">
        <w:t>would</w:t>
      </w:r>
      <w:r w:rsidRPr="59634107" w:rsidR="00B00D48">
        <w:t xml:space="preserve"> undertake </w:t>
      </w:r>
      <w:proofErr w:type="gramStart"/>
      <w:r w:rsidRPr="59634107" w:rsidR="00B00D48">
        <w:t>as a result of</w:t>
      </w:r>
      <w:proofErr w:type="gramEnd"/>
      <w:r w:rsidRPr="59634107" w:rsidR="00B00D48">
        <w:t xml:space="preserve"> </w:t>
      </w:r>
      <w:r w:rsidRPr="59634107" w:rsidR="00D24640">
        <w:t xml:space="preserve">participating in </w:t>
      </w:r>
      <w:r w:rsidRPr="59634107" w:rsidR="00B00D48">
        <w:t>the new CCA scheme</w:t>
      </w:r>
      <w:r w:rsidRPr="59634107" w:rsidR="001C365A">
        <w:t xml:space="preserve">, please be ambitious with </w:t>
      </w:r>
      <w:r w:rsidRPr="59634107" w:rsidR="00B852E5">
        <w:t xml:space="preserve">what you propose </w:t>
      </w:r>
      <w:r w:rsidRPr="59634107" w:rsidR="001C365A">
        <w:t xml:space="preserve">between now and December 2030. </w:t>
      </w:r>
    </w:p>
    <w:p w:rsidRPr="003F764D" w:rsidR="00CF568A" w:rsidP="00D732A2" w:rsidRDefault="00CF568A" w14:paraId="5EA9BD85" w14:textId="77777777">
      <w:pPr>
        <w:pStyle w:val="ListParagraph"/>
        <w:spacing w:line="278" w:lineRule="auto"/>
        <w:ind w:left="431"/>
        <w:jc w:val="both"/>
        <w:rPr>
          <w:rStyle w:val="Boldtext"/>
          <w:b w:val="0"/>
        </w:rPr>
      </w:pPr>
    </w:p>
    <w:p w:rsidRPr="00711C2B" w:rsidR="00012AB1" w:rsidDel="00F51A15" w:rsidP="00D732A2" w:rsidRDefault="00012AB1" w14:paraId="7CE8137D" w14:textId="09F99126">
      <w:pPr>
        <w:pStyle w:val="ListParagraph"/>
        <w:numPr>
          <w:ilvl w:val="1"/>
          <w:numId w:val="7"/>
        </w:numPr>
        <w:spacing w:line="278" w:lineRule="auto"/>
        <w:ind w:left="431" w:hanging="431"/>
        <w:jc w:val="both"/>
      </w:pPr>
      <w:r w:rsidRPr="59634107">
        <w:rPr>
          <w:rStyle w:val="Boldtext"/>
        </w:rPr>
        <w:t>Within each tab, data input is only required in the green cells</w:t>
      </w:r>
      <w:r w:rsidRPr="59634107">
        <w:t>. There are many calculations included in the tabs, which do not need to be considered by the Operator and so have been hidden in the version of the tool suffixed with ‘Facility version’.</w:t>
      </w:r>
    </w:p>
    <w:p w:rsidRPr="00711C2B" w:rsidR="00012AB1" w:rsidP="00D732A2" w:rsidRDefault="00012AB1" w14:paraId="6E40A2FC" w14:textId="77777777">
      <w:pPr>
        <w:pStyle w:val="Heading2"/>
        <w:numPr>
          <w:ilvl w:val="0"/>
          <w:numId w:val="7"/>
        </w:numPr>
        <w:jc w:val="both"/>
        <w:rPr>
          <w:rFonts w:ascii="Aptos" w:hAnsi="Aptos"/>
        </w:rPr>
      </w:pPr>
      <w:bookmarkStart w:name="_Toc190180801" w:id="8"/>
      <w:bookmarkStart w:name="_Toc190180909" w:id="9"/>
      <w:bookmarkStart w:name="_Toc190181041" w:id="10"/>
      <w:bookmarkStart w:name="_Toc190700710" w:id="11"/>
      <w:r w:rsidRPr="00711C2B">
        <w:rPr>
          <w:rFonts w:ascii="Aptos" w:hAnsi="Aptos"/>
        </w:rPr>
        <w:t>Energy Demand Savings</w:t>
      </w:r>
      <w:bookmarkEnd w:id="8"/>
      <w:bookmarkEnd w:id="9"/>
      <w:bookmarkEnd w:id="10"/>
      <w:bookmarkEnd w:id="11"/>
    </w:p>
    <w:p w:rsidRPr="00711C2B" w:rsidR="00012AB1" w:rsidP="00D732A2" w:rsidRDefault="00012AB1" w14:paraId="40B99210" w14:textId="5FE61C19">
      <w:pPr>
        <w:pStyle w:val="ListParagraph"/>
        <w:numPr>
          <w:ilvl w:val="1"/>
          <w:numId w:val="7"/>
        </w:numPr>
        <w:spacing w:line="278" w:lineRule="auto"/>
        <w:ind w:left="431" w:hanging="431"/>
        <w:jc w:val="both"/>
      </w:pPr>
      <w:r w:rsidRPr="00711C2B">
        <w:t xml:space="preserve">There </w:t>
      </w:r>
      <w:r w:rsidR="00D65A76">
        <w:t>is</w:t>
      </w:r>
      <w:r w:rsidRPr="00711C2B" w:rsidR="00D65A76">
        <w:t xml:space="preserve"> </w:t>
      </w:r>
      <w:r w:rsidR="00D65A76">
        <w:t>1</w:t>
      </w:r>
      <w:r w:rsidRPr="00711C2B" w:rsidR="00D65A76">
        <w:t xml:space="preserve"> </w:t>
      </w:r>
      <w:r w:rsidRPr="00711C2B">
        <w:t>tab covering energy demand:</w:t>
      </w:r>
    </w:p>
    <w:tbl>
      <w:tblPr>
        <w:tblStyle w:val="TableGrid"/>
        <w:tblW w:w="0" w:type="auto"/>
        <w:tblLayout w:type="fixed"/>
        <w:tblLook w:val="04A0" w:firstRow="1" w:lastRow="0" w:firstColumn="1" w:lastColumn="0" w:noHBand="0" w:noVBand="1"/>
      </w:tblPr>
      <w:tblGrid>
        <w:gridCol w:w="1430"/>
        <w:gridCol w:w="1542"/>
        <w:gridCol w:w="7110"/>
      </w:tblGrid>
      <w:tr w:rsidRPr="00202DE3" w:rsidR="002D70D0" w:rsidTr="3DF7D700" w14:paraId="51AC0E95" w14:textId="2286CD77">
        <w:tc>
          <w:tcPr>
            <w:tcW w:w="1430" w:type="dxa"/>
          </w:tcPr>
          <w:p w:rsidRPr="00711C2B" w:rsidR="002D70D0" w:rsidP="00D732A2" w:rsidRDefault="002D70D0" w14:paraId="2A2534AC" w14:textId="77777777">
            <w:pPr>
              <w:jc w:val="both"/>
              <w:rPr>
                <w:rFonts w:cstheme="minorHAnsi"/>
              </w:rPr>
            </w:pPr>
            <w:r w:rsidRPr="00711C2B">
              <w:rPr>
                <w:rFonts w:cstheme="minorHAnsi"/>
              </w:rPr>
              <w:t>Energy Demand</w:t>
            </w:r>
          </w:p>
        </w:tc>
        <w:tc>
          <w:tcPr>
            <w:tcW w:w="1542" w:type="dxa"/>
          </w:tcPr>
          <w:p w:rsidRPr="00711C2B" w:rsidR="002D70D0" w:rsidP="00D732A2" w:rsidRDefault="002D70D0" w14:paraId="78E704B2" w14:textId="3DDD9CD4">
            <w:pPr>
              <w:pStyle w:val="DESNZbulletedlist"/>
              <w:numPr>
                <w:ilvl w:val="0"/>
                <w:numId w:val="0"/>
              </w:numPr>
              <w:ind w:left="357"/>
              <w:jc w:val="both"/>
              <w:rPr>
                <w:rFonts w:ascii="Aptos" w:hAnsi="Aptos" w:cstheme="minorHAnsi"/>
              </w:rPr>
            </w:pPr>
            <w:r w:rsidRPr="00711C2B">
              <w:rPr>
                <w:rFonts w:ascii="Aptos" w:hAnsi="Aptos" w:cstheme="minorHAnsi"/>
              </w:rPr>
              <w:t>3</w:t>
            </w:r>
          </w:p>
        </w:tc>
        <w:tc>
          <w:tcPr>
            <w:tcW w:w="7110" w:type="dxa"/>
          </w:tcPr>
          <w:p w:rsidRPr="00711C2B" w:rsidR="002D70D0" w:rsidP="000155C3" w:rsidRDefault="002D70D0" w14:paraId="7ADB1455" w14:textId="77777777">
            <w:pPr>
              <w:pStyle w:val="DESNZbulletedlist"/>
              <w:rPr>
                <w:rFonts w:ascii="Aptos" w:hAnsi="Aptos" w:cstheme="minorHAnsi"/>
              </w:rPr>
            </w:pPr>
            <w:r w:rsidRPr="00711C2B">
              <w:rPr>
                <w:rFonts w:ascii="Aptos" w:hAnsi="Aptos" w:cstheme="minorHAnsi"/>
              </w:rPr>
              <w:t>Energy management (optimisation of energy use)</w:t>
            </w:r>
          </w:p>
          <w:p w:rsidRPr="00711C2B" w:rsidR="002D70D0" w:rsidP="000155C3" w:rsidRDefault="002D70D0" w14:paraId="41A80D4B" w14:textId="77777777">
            <w:pPr>
              <w:pStyle w:val="DESNZbulletedlist"/>
              <w:rPr>
                <w:rFonts w:ascii="Aptos" w:hAnsi="Aptos" w:cstheme="minorHAnsi"/>
              </w:rPr>
            </w:pPr>
            <w:r w:rsidRPr="00711C2B">
              <w:rPr>
                <w:rFonts w:ascii="Aptos" w:hAnsi="Aptos" w:cstheme="minorHAnsi"/>
              </w:rPr>
              <w:t>Process Optimisation (scope for changes to processes)</w:t>
            </w:r>
          </w:p>
          <w:p w:rsidRPr="00711C2B" w:rsidR="002D70D0" w:rsidP="000155C3" w:rsidRDefault="002D70D0" w14:paraId="52CEBC0F" w14:textId="3800FEF4">
            <w:pPr>
              <w:pStyle w:val="DESNZbulletedlist"/>
              <w:rPr>
                <w:rFonts w:ascii="Aptos" w:hAnsi="Aptos" w:cstheme="minorHAnsi"/>
              </w:rPr>
            </w:pPr>
            <w:r w:rsidRPr="00711C2B">
              <w:rPr>
                <w:rFonts w:ascii="Aptos" w:hAnsi="Aptos" w:cstheme="minorHAnsi"/>
              </w:rPr>
              <w:t>Insulation improvements (heat demand reduction)</w:t>
            </w:r>
          </w:p>
          <w:p w:rsidR="002D70D0" w:rsidP="000155C3" w:rsidRDefault="002D70D0" w14:paraId="017ADFFF" w14:textId="77777777">
            <w:pPr>
              <w:pStyle w:val="DESNZbulletedlist"/>
              <w:rPr>
                <w:rFonts w:ascii="Aptos" w:hAnsi="Aptos" w:cstheme="minorHAnsi"/>
              </w:rPr>
            </w:pPr>
            <w:r w:rsidRPr="00711C2B">
              <w:rPr>
                <w:rFonts w:ascii="Aptos" w:hAnsi="Aptos" w:cstheme="minorHAnsi"/>
              </w:rPr>
              <w:t>Infrastructure improvement (refurbishment/replacement of buildings/plant)</w:t>
            </w:r>
          </w:p>
          <w:p w:rsidR="00D65A76" w:rsidP="000155C3" w:rsidRDefault="00D65A76" w14:paraId="728A1EEF" w14:textId="77777777">
            <w:pPr>
              <w:pStyle w:val="DESNZbulletedlist"/>
              <w:rPr>
                <w:rFonts w:ascii="Aptos" w:hAnsi="Aptos" w:cstheme="minorHAnsi"/>
              </w:rPr>
            </w:pPr>
            <w:r>
              <w:rPr>
                <w:rFonts w:ascii="Aptos" w:hAnsi="Aptos" w:cstheme="minorHAnsi"/>
              </w:rPr>
              <w:t>Heat Recovery</w:t>
            </w:r>
          </w:p>
          <w:p w:rsidRPr="00711C2B" w:rsidR="006227C3" w:rsidP="000155C3" w:rsidRDefault="006227C3" w14:paraId="2885084D" w14:textId="0E5A0AD7">
            <w:pPr>
              <w:pStyle w:val="DESNZbulletedlist"/>
              <w:rPr>
                <w:rFonts w:ascii="Aptos" w:hAnsi="Aptos" w:cstheme="minorHAnsi"/>
              </w:rPr>
            </w:pPr>
            <w:r w:rsidRPr="00711C2B">
              <w:rPr>
                <w:rFonts w:ascii="Aptos" w:hAnsi="Aptos" w:cstheme="minorHAnsi"/>
              </w:rPr>
              <w:t>New Technology Uptake (Component and/or equipment replacement)</w:t>
            </w:r>
          </w:p>
        </w:tc>
      </w:tr>
    </w:tbl>
    <w:p w:rsidR="3DF7D700" w:rsidP="00D732A2" w:rsidRDefault="3DF7D700" w14:paraId="490D8DE9" w14:textId="3CBF64B4">
      <w:pPr>
        <w:jc w:val="both"/>
      </w:pPr>
    </w:p>
    <w:p w:rsidRPr="003F764D" w:rsidR="00CF568A" w:rsidP="00D732A2" w:rsidRDefault="37CEE784" w14:paraId="6919AA30" w14:textId="70EE8A0B">
      <w:pPr>
        <w:pStyle w:val="ListParagraph"/>
        <w:numPr>
          <w:ilvl w:val="1"/>
          <w:numId w:val="7"/>
        </w:numPr>
        <w:spacing w:line="278" w:lineRule="auto"/>
        <w:ind w:left="431" w:hanging="431"/>
        <w:jc w:val="both"/>
      </w:pPr>
      <w:r>
        <w:t xml:space="preserve">Rows needed to be entered </w:t>
      </w:r>
      <w:r w:rsidR="714DE333">
        <w:t xml:space="preserve">in this </w:t>
      </w:r>
      <w:r w:rsidR="43D33B63">
        <w:t>tab</w:t>
      </w:r>
      <w:r w:rsidR="714DE333">
        <w:t xml:space="preserve"> </w:t>
      </w:r>
      <w:r>
        <w:t>for:</w:t>
      </w:r>
    </w:p>
    <w:p w:rsidRPr="00CF568A" w:rsidR="00CF568A" w:rsidP="7D187541" w:rsidRDefault="00211B75" w14:paraId="0A5F4BD6" w14:textId="281A63B2">
      <w:pPr>
        <w:pStyle w:val="ListParagraph"/>
        <w:numPr>
          <w:ilvl w:val="2"/>
          <w:numId w:val="7"/>
        </w:numPr>
        <w:spacing w:line="278" w:lineRule="auto"/>
        <w:jc w:val="both"/>
        <w:rPr>
          <w:rFonts w:eastAsia="Aptos" w:cs="Aptos"/>
        </w:rPr>
      </w:pPr>
      <w:r w:rsidRPr="7D187541">
        <w:t>All</w:t>
      </w:r>
      <w:r w:rsidRPr="7D187541" w:rsidR="00A74F90">
        <w:t xml:space="preserve"> demand side</w:t>
      </w:r>
      <w:r w:rsidRPr="7D187541">
        <w:t xml:space="preserve"> measures already implemented that impact the 2022 baseline</w:t>
      </w:r>
      <w:r w:rsidRPr="7D187541" w:rsidR="00CF568A">
        <w:t>; and</w:t>
      </w:r>
    </w:p>
    <w:p w:rsidRPr="003F764D" w:rsidR="00211B75" w:rsidP="7D187541" w:rsidRDefault="14FA7A7C" w14:paraId="7DF965A5" w14:textId="3A07A855">
      <w:pPr>
        <w:pStyle w:val="ListParagraph"/>
        <w:numPr>
          <w:ilvl w:val="2"/>
          <w:numId w:val="7"/>
        </w:numPr>
        <w:spacing w:line="278" w:lineRule="auto"/>
        <w:jc w:val="both"/>
        <w:rPr>
          <w:rFonts w:eastAsia="Aptos" w:cs="Aptos"/>
        </w:rPr>
      </w:pPr>
      <w:r w:rsidRPr="7D187541">
        <w:t xml:space="preserve">All </w:t>
      </w:r>
      <w:r w:rsidRPr="7D187541" w:rsidR="7527768D">
        <w:t xml:space="preserve">demand side </w:t>
      </w:r>
      <w:r w:rsidRPr="7D187541" w:rsidR="00211B75">
        <w:t xml:space="preserve">measures the facility intends to undertake </w:t>
      </w:r>
      <w:proofErr w:type="gramStart"/>
      <w:r w:rsidRPr="7D187541" w:rsidR="00211B75">
        <w:t>as a result of</w:t>
      </w:r>
      <w:proofErr w:type="gramEnd"/>
      <w:r w:rsidRPr="7D187541" w:rsidR="00211B75">
        <w:t xml:space="preserve"> the </w:t>
      </w:r>
      <w:r w:rsidRPr="7D187541" w:rsidR="00734DDF">
        <w:t xml:space="preserve">next phase of the </w:t>
      </w:r>
      <w:r w:rsidRPr="7D187541" w:rsidR="00211B75">
        <w:t>CCA</w:t>
      </w:r>
      <w:r w:rsidRPr="7D187541" w:rsidR="00734DDF">
        <w:t xml:space="preserve"> scheme out to 2030.</w:t>
      </w:r>
    </w:p>
    <w:p w:rsidRPr="00CF568A" w:rsidR="00734DDF" w:rsidP="00D732A2" w:rsidRDefault="00734DDF" w14:paraId="36C12B58" w14:textId="77777777">
      <w:pPr>
        <w:pStyle w:val="ListParagraph"/>
        <w:spacing w:line="278" w:lineRule="auto"/>
        <w:ind w:left="1080"/>
        <w:jc w:val="both"/>
        <w:rPr>
          <w:rFonts w:eastAsia="Aptos" w:cs="Aptos"/>
        </w:rPr>
      </w:pPr>
    </w:p>
    <w:p w:rsidRPr="003F764D" w:rsidR="00734DDF" w:rsidP="00D732A2" w:rsidRDefault="36EDC808" w14:paraId="20B40871" w14:textId="39339B8B">
      <w:pPr>
        <w:pStyle w:val="ListParagraph"/>
        <w:numPr>
          <w:ilvl w:val="1"/>
          <w:numId w:val="7"/>
        </w:numPr>
        <w:spacing w:line="278" w:lineRule="auto"/>
        <w:ind w:left="431" w:hanging="431"/>
        <w:jc w:val="both"/>
      </w:pPr>
      <w:r w:rsidRPr="7D187541">
        <w:t xml:space="preserve">Measures included in this tab must be listed in </w:t>
      </w:r>
      <w:r w:rsidRPr="7D187541" w:rsidR="00BE532A">
        <w:t>chronological</w:t>
      </w:r>
      <w:r w:rsidRPr="7D187541">
        <w:t xml:space="preserve"> order, from the first implemented to the last implemented or to be implemented.</w:t>
      </w:r>
      <w:r w:rsidRPr="7D187541" w:rsidR="58CFDD4B">
        <w:t xml:space="preserve"> </w:t>
      </w:r>
      <w:r w:rsidRPr="7D187541" w:rsidR="7B25EA96">
        <w:t xml:space="preserve">Operators should submit one row per measure per fuel type that is impacted. </w:t>
      </w:r>
      <w:proofErr w:type="gramStart"/>
      <w:r w:rsidRPr="7D187541" w:rsidR="7B25EA96">
        <w:t>In the event that</w:t>
      </w:r>
      <w:proofErr w:type="gramEnd"/>
      <w:r w:rsidRPr="7D187541" w:rsidR="7B25EA96">
        <w:t xml:space="preserve"> a measure impacts multiple fuel types, operators should submit multiple lines. </w:t>
      </w:r>
    </w:p>
    <w:p w:rsidRPr="003F764D" w:rsidR="00734DDF" w:rsidP="00D732A2" w:rsidRDefault="00734DDF" w14:paraId="78CCB1B4" w14:textId="77777777">
      <w:pPr>
        <w:pStyle w:val="ListParagraph"/>
        <w:spacing w:line="278" w:lineRule="auto"/>
        <w:ind w:left="431"/>
        <w:jc w:val="both"/>
        <w:rPr>
          <w:rStyle w:val="Boldtext"/>
          <w:b w:val="0"/>
        </w:rPr>
      </w:pPr>
    </w:p>
    <w:p w:rsidRPr="00711C2B" w:rsidR="00734DDF" w:rsidP="00D732A2" w:rsidRDefault="00012AB1" w14:paraId="0D8F7D8C" w14:textId="3C6A8395">
      <w:pPr>
        <w:pStyle w:val="ListParagraph"/>
        <w:numPr>
          <w:ilvl w:val="1"/>
          <w:numId w:val="7"/>
        </w:numPr>
        <w:spacing w:line="278" w:lineRule="auto"/>
        <w:ind w:left="431" w:hanging="431"/>
        <w:jc w:val="both"/>
      </w:pPr>
      <w:r w:rsidRPr="00711C2B">
        <w:rPr>
          <w:rStyle w:val="Boldtext"/>
        </w:rPr>
        <w:t xml:space="preserve">Energy Management </w:t>
      </w:r>
      <w:r w:rsidRPr="00711C2B">
        <w:t>measures may be around operation of the Facility, for instance:</w:t>
      </w:r>
    </w:p>
    <w:p w:rsidRPr="00734DDF" w:rsidR="00734DDF" w:rsidP="00D732A2" w:rsidRDefault="00012AB1" w14:paraId="25537FD7" w14:textId="05F8E09D">
      <w:pPr>
        <w:pStyle w:val="ListParagraph"/>
        <w:numPr>
          <w:ilvl w:val="2"/>
          <w:numId w:val="7"/>
        </w:numPr>
        <w:spacing w:line="278" w:lineRule="auto"/>
        <w:jc w:val="both"/>
      </w:pPr>
      <w:r w:rsidRPr="00734DDF">
        <w:t xml:space="preserve">Changes in shift patterns to ensure optimisation of production when equipment is </w:t>
      </w:r>
      <w:r w:rsidRPr="00734DDF" w:rsidR="00423D20">
        <w:t>running</w:t>
      </w:r>
      <w:r w:rsidR="00423D20">
        <w:t>.</w:t>
      </w:r>
    </w:p>
    <w:p w:rsidRPr="00734DDF" w:rsidR="00734DDF" w:rsidP="00D732A2" w:rsidRDefault="00012AB1" w14:paraId="6DAF660C" w14:textId="43A93B11">
      <w:pPr>
        <w:pStyle w:val="ListParagraph"/>
        <w:numPr>
          <w:ilvl w:val="2"/>
          <w:numId w:val="7"/>
        </w:numPr>
        <w:spacing w:line="278" w:lineRule="auto"/>
        <w:jc w:val="both"/>
      </w:pPr>
      <w:r w:rsidRPr="00734DDF">
        <w:t xml:space="preserve">Reduced start-up and shut-down times for equipment and reduced standby </w:t>
      </w:r>
      <w:r w:rsidRPr="00734DDF" w:rsidR="00423D20">
        <w:t>consumption</w:t>
      </w:r>
      <w:r w:rsidR="00423D20">
        <w:t>.</w:t>
      </w:r>
    </w:p>
    <w:p w:rsidR="00012AB1" w:rsidP="00D732A2" w:rsidRDefault="00012AB1" w14:paraId="744BBB24" w14:textId="77777777">
      <w:pPr>
        <w:pStyle w:val="ListParagraph"/>
        <w:numPr>
          <w:ilvl w:val="2"/>
          <w:numId w:val="7"/>
        </w:numPr>
        <w:spacing w:line="278" w:lineRule="auto"/>
        <w:jc w:val="both"/>
      </w:pPr>
      <w:r w:rsidRPr="00734DDF">
        <w:t>Improved control of building heating</w:t>
      </w:r>
    </w:p>
    <w:p w:rsidRPr="00734DDF" w:rsidR="00036459" w:rsidP="00D732A2" w:rsidRDefault="00036459" w14:paraId="086F3585" w14:textId="77777777">
      <w:pPr>
        <w:pStyle w:val="ListParagraph"/>
        <w:spacing w:line="278" w:lineRule="auto"/>
        <w:ind w:left="1080"/>
        <w:jc w:val="both"/>
      </w:pPr>
    </w:p>
    <w:p w:rsidRPr="003F764D" w:rsidR="00036459" w:rsidP="00D732A2" w:rsidRDefault="00012AB1" w14:paraId="3972C6FC" w14:textId="3B437AA8">
      <w:pPr>
        <w:pStyle w:val="ListParagraph"/>
        <w:numPr>
          <w:ilvl w:val="1"/>
          <w:numId w:val="7"/>
        </w:numPr>
        <w:spacing w:line="278" w:lineRule="auto"/>
        <w:ind w:left="431" w:hanging="431"/>
        <w:jc w:val="both"/>
        <w:rPr>
          <w:rStyle w:val="Boldtext"/>
        </w:rPr>
      </w:pPr>
      <w:r w:rsidRPr="00711C2B">
        <w:rPr>
          <w:rStyle w:val="Boldtext"/>
        </w:rPr>
        <w:t>Process Optimisation</w:t>
      </w:r>
      <w:r w:rsidRPr="003F764D">
        <w:rPr>
          <w:rStyle w:val="Boldtext"/>
        </w:rPr>
        <w:t xml:space="preserve"> </w:t>
      </w:r>
      <w:r w:rsidRPr="003F764D">
        <w:rPr>
          <w:rStyle w:val="Boldtext"/>
          <w:b w:val="0"/>
          <w:bCs/>
        </w:rPr>
        <w:t>is intended to cover changes in processes carried out, for instance:</w:t>
      </w:r>
    </w:p>
    <w:p w:rsidRPr="00036459" w:rsidR="00036459" w:rsidP="00D732A2" w:rsidRDefault="00012AB1" w14:paraId="328C14B5" w14:textId="5946539C">
      <w:pPr>
        <w:pStyle w:val="ListParagraph"/>
        <w:numPr>
          <w:ilvl w:val="2"/>
          <w:numId w:val="7"/>
        </w:numPr>
        <w:spacing w:line="278" w:lineRule="auto"/>
        <w:jc w:val="both"/>
      </w:pPr>
      <w:r w:rsidRPr="00036459">
        <w:t xml:space="preserve">The move onsite of a process that was carried out </w:t>
      </w:r>
      <w:r w:rsidRPr="00036459" w:rsidR="00423D20">
        <w:t>elsewhere</w:t>
      </w:r>
      <w:r w:rsidR="00423D20">
        <w:t>.</w:t>
      </w:r>
    </w:p>
    <w:p w:rsidRPr="00036459" w:rsidR="00036459" w:rsidP="00D732A2" w:rsidRDefault="00012AB1" w14:paraId="0D06F61C" w14:textId="291193BD">
      <w:pPr>
        <w:pStyle w:val="ListParagraph"/>
        <w:numPr>
          <w:ilvl w:val="2"/>
          <w:numId w:val="7"/>
        </w:numPr>
        <w:spacing w:line="278" w:lineRule="auto"/>
        <w:jc w:val="both"/>
      </w:pPr>
      <w:r w:rsidRPr="00036459">
        <w:t xml:space="preserve">The move off- site of a process currently </w:t>
      </w:r>
      <w:r w:rsidRPr="00036459" w:rsidR="00423D20">
        <w:t>undertaken</w:t>
      </w:r>
      <w:r w:rsidR="00423D20">
        <w:t>.</w:t>
      </w:r>
    </w:p>
    <w:p w:rsidR="00012AB1" w:rsidP="00D732A2" w:rsidRDefault="00012AB1" w14:paraId="2A70E0C3" w14:textId="645C9EC1">
      <w:pPr>
        <w:pStyle w:val="ListParagraph"/>
        <w:numPr>
          <w:ilvl w:val="2"/>
          <w:numId w:val="7"/>
        </w:numPr>
        <w:spacing w:line="278" w:lineRule="auto"/>
        <w:jc w:val="both"/>
      </w:pPr>
      <w:r w:rsidRPr="00036459">
        <w:t xml:space="preserve">Change to a process to meet a new regulatory requirement or </w:t>
      </w:r>
      <w:r w:rsidRPr="00036459" w:rsidR="00423D20">
        <w:t>standard</w:t>
      </w:r>
      <w:r w:rsidR="00423D20">
        <w:t>.</w:t>
      </w:r>
    </w:p>
    <w:p w:rsidR="00036459" w:rsidP="00D732A2" w:rsidRDefault="00036459" w14:paraId="0F670339" w14:textId="7FD3ADB4">
      <w:pPr>
        <w:pStyle w:val="ListParagraph"/>
        <w:numPr>
          <w:ilvl w:val="2"/>
          <w:numId w:val="7"/>
        </w:numPr>
        <w:spacing w:line="278" w:lineRule="auto"/>
        <w:jc w:val="both"/>
      </w:pPr>
      <w:r>
        <w:t xml:space="preserve">The </w:t>
      </w:r>
      <w:r w:rsidRPr="00711C2B">
        <w:t>reduction of a process step in terms of time / quality of product (e.g. thinner plating or less coats of paint on products</w:t>
      </w:r>
      <w:r w:rsidR="00423D20">
        <w:t>).</w:t>
      </w:r>
    </w:p>
    <w:p w:rsidR="00036459" w:rsidP="00D732A2" w:rsidRDefault="00036459" w14:paraId="51616D06" w14:textId="3EFC5EA7">
      <w:pPr>
        <w:pStyle w:val="ListParagraph"/>
        <w:numPr>
          <w:ilvl w:val="2"/>
          <w:numId w:val="7"/>
        </w:numPr>
        <w:spacing w:line="278" w:lineRule="auto"/>
        <w:jc w:val="both"/>
      </w:pPr>
      <w:r>
        <w:t xml:space="preserve">Lightweighting of </w:t>
      </w:r>
      <w:r w:rsidR="00423D20">
        <w:t>packaging.</w:t>
      </w:r>
    </w:p>
    <w:p w:rsidR="00036459" w:rsidP="00D732A2" w:rsidRDefault="00036459" w14:paraId="29F9BEC3" w14:textId="3D3F552A">
      <w:pPr>
        <w:pStyle w:val="ListParagraph"/>
        <w:numPr>
          <w:ilvl w:val="2"/>
          <w:numId w:val="7"/>
        </w:numPr>
        <w:spacing w:line="278" w:lineRule="auto"/>
        <w:jc w:val="both"/>
      </w:pPr>
      <w:r>
        <w:t xml:space="preserve">An alternative technical solution such as moving from conventional to blast freezing </w:t>
      </w:r>
    </w:p>
    <w:p w:rsidRPr="00036459" w:rsidR="009E2784" w:rsidP="00D732A2" w:rsidRDefault="009E2784" w14:paraId="4B8080E5" w14:textId="77777777">
      <w:pPr>
        <w:pStyle w:val="ListParagraph"/>
        <w:spacing w:line="278" w:lineRule="auto"/>
        <w:ind w:left="1080"/>
        <w:jc w:val="both"/>
      </w:pPr>
    </w:p>
    <w:p w:rsidRPr="003F764D" w:rsidR="009E2784" w:rsidP="7D187541" w:rsidRDefault="00012AB1" w14:paraId="51A99769" w14:textId="7EED7CCF">
      <w:pPr>
        <w:pStyle w:val="ListParagraph"/>
        <w:numPr>
          <w:ilvl w:val="1"/>
          <w:numId w:val="7"/>
        </w:numPr>
        <w:spacing w:line="278" w:lineRule="auto"/>
        <w:ind w:left="431" w:hanging="431"/>
        <w:jc w:val="both"/>
        <w:rPr>
          <w:rStyle w:val="Boldtext"/>
          <w:b w:val="0"/>
        </w:rPr>
      </w:pPr>
      <w:r w:rsidRPr="7D187541">
        <w:rPr>
          <w:rStyle w:val="Boldtext"/>
        </w:rPr>
        <w:t xml:space="preserve">Insulation Improvement </w:t>
      </w:r>
      <w:r w:rsidRPr="7D187541">
        <w:rPr>
          <w:rStyle w:val="Boldtext"/>
          <w:b w:val="0"/>
        </w:rPr>
        <w:t>is intended to cover savings relating to heat demand, perhaps regarding plant or equipment, for instance:</w:t>
      </w:r>
    </w:p>
    <w:p w:rsidRPr="009E2784" w:rsidR="009E2784" w:rsidP="00D732A2" w:rsidRDefault="00012AB1" w14:paraId="15C44504" w14:textId="35989C6A">
      <w:pPr>
        <w:pStyle w:val="ListParagraph"/>
        <w:numPr>
          <w:ilvl w:val="2"/>
          <w:numId w:val="7"/>
        </w:numPr>
        <w:spacing w:line="278" w:lineRule="auto"/>
        <w:jc w:val="both"/>
      </w:pPr>
      <w:r w:rsidRPr="7D187541">
        <w:t xml:space="preserve">Additional insulation on an </w:t>
      </w:r>
      <w:r w:rsidRPr="7D187541" w:rsidR="00423D20">
        <w:t>oven.</w:t>
      </w:r>
      <w:r w:rsidRPr="7D187541">
        <w:t xml:space="preserve"> </w:t>
      </w:r>
    </w:p>
    <w:p w:rsidRPr="009E2784" w:rsidR="00012AB1" w:rsidP="00D732A2" w:rsidRDefault="00012AB1" w14:paraId="3C099E9D" w14:textId="3AB56593">
      <w:pPr>
        <w:pStyle w:val="ListParagraph"/>
        <w:numPr>
          <w:ilvl w:val="2"/>
          <w:numId w:val="7"/>
        </w:numPr>
        <w:spacing w:line="278" w:lineRule="auto"/>
        <w:jc w:val="both"/>
      </w:pPr>
      <w:r w:rsidRPr="7D187541">
        <w:t>Additional insulation on a pipework system</w:t>
      </w:r>
      <w:r w:rsidRPr="7D187541" w:rsidR="00423D20">
        <w:t>.</w:t>
      </w:r>
    </w:p>
    <w:p w:rsidR="00BA5F33" w:rsidP="00D732A2" w:rsidRDefault="00BA5F33" w14:paraId="2176F0AC" w14:textId="77777777">
      <w:pPr>
        <w:pStyle w:val="ListParagraph"/>
        <w:spacing w:line="278" w:lineRule="auto"/>
        <w:ind w:left="431"/>
        <w:jc w:val="both"/>
        <w:rPr>
          <w:rStyle w:val="Boldtext"/>
          <w:rFonts w:ascii="Arial" w:hAnsi="Arial"/>
          <w:szCs w:val="22"/>
        </w:rPr>
      </w:pPr>
    </w:p>
    <w:p w:rsidRPr="003F764D" w:rsidR="00012AB1" w:rsidP="00D732A2" w:rsidRDefault="00012AB1" w14:paraId="5816B0C5" w14:textId="2CB70F28">
      <w:pPr>
        <w:pStyle w:val="ListParagraph"/>
        <w:numPr>
          <w:ilvl w:val="1"/>
          <w:numId w:val="7"/>
        </w:numPr>
        <w:spacing w:line="278" w:lineRule="auto"/>
        <w:ind w:left="431" w:hanging="431"/>
        <w:jc w:val="both"/>
        <w:rPr>
          <w:rStyle w:val="Boldtext"/>
          <w:b w:val="0"/>
          <w:bCs/>
        </w:rPr>
      </w:pPr>
      <w:r w:rsidRPr="00711C2B">
        <w:rPr>
          <w:rStyle w:val="Boldtext"/>
        </w:rPr>
        <w:t xml:space="preserve">Infrastructure Improvements </w:t>
      </w:r>
      <w:r w:rsidRPr="003F764D">
        <w:rPr>
          <w:rStyle w:val="Boldtext"/>
          <w:b w:val="0"/>
          <w:bCs/>
        </w:rPr>
        <w:t>is intended to cover savings arising from the replacement or refurbishment of buildings and/or major plant, for instance:</w:t>
      </w:r>
    </w:p>
    <w:p w:rsidRPr="003F764D" w:rsidR="00012AB1" w:rsidP="00D732A2" w:rsidRDefault="00012AB1" w14:paraId="79885732" w14:textId="689135D5">
      <w:pPr>
        <w:pStyle w:val="ListParagraph"/>
        <w:numPr>
          <w:ilvl w:val="2"/>
          <w:numId w:val="7"/>
        </w:numPr>
        <w:spacing w:line="278" w:lineRule="auto"/>
        <w:jc w:val="both"/>
        <w:rPr>
          <w:rStyle w:val="Boldtext"/>
          <w:b w:val="0"/>
          <w:bCs/>
        </w:rPr>
      </w:pPr>
      <w:r w:rsidRPr="003F764D">
        <w:rPr>
          <w:rStyle w:val="Boldtext"/>
          <w:b w:val="0"/>
          <w:bCs/>
        </w:rPr>
        <w:t xml:space="preserve">Installation of a new chicken </w:t>
      </w:r>
      <w:r w:rsidRPr="003F764D" w:rsidR="00423D20">
        <w:rPr>
          <w:rStyle w:val="Boldtext"/>
          <w:b w:val="0"/>
          <w:bCs/>
        </w:rPr>
        <w:t>shed</w:t>
      </w:r>
      <w:r w:rsidR="00423D20">
        <w:rPr>
          <w:rStyle w:val="Boldtext"/>
          <w:b w:val="0"/>
          <w:bCs/>
        </w:rPr>
        <w:t>.</w:t>
      </w:r>
    </w:p>
    <w:p w:rsidRPr="003F764D" w:rsidR="00012AB1" w:rsidP="00D732A2" w:rsidRDefault="00012AB1" w14:paraId="7E860D00" w14:textId="248FC339">
      <w:pPr>
        <w:pStyle w:val="ListParagraph"/>
        <w:numPr>
          <w:ilvl w:val="2"/>
          <w:numId w:val="7"/>
        </w:numPr>
        <w:spacing w:line="278" w:lineRule="auto"/>
        <w:jc w:val="both"/>
        <w:rPr>
          <w:rStyle w:val="Boldtext"/>
          <w:b w:val="0"/>
          <w:bCs/>
        </w:rPr>
      </w:pPr>
      <w:r w:rsidRPr="003F764D">
        <w:rPr>
          <w:rStyle w:val="Boldtext"/>
          <w:b w:val="0"/>
          <w:bCs/>
        </w:rPr>
        <w:t xml:space="preserve">Replacement of a BREEAM Unclassified building with a new BREEAM Pass building </w:t>
      </w:r>
      <w:r w:rsidRPr="003F764D">
        <w:rPr>
          <w:rStyle w:val="Boldtext"/>
          <w:rFonts w:hint="eastAsia"/>
          <w:b w:val="0"/>
          <w:bCs/>
        </w:rPr>
        <w:t>–</w:t>
      </w:r>
      <w:r w:rsidRPr="003F764D">
        <w:rPr>
          <w:rStyle w:val="Boldtext"/>
          <w:b w:val="0"/>
          <w:bCs/>
        </w:rPr>
        <w:t xml:space="preserve"> saving estimated by </w:t>
      </w:r>
      <w:r w:rsidRPr="003F764D" w:rsidR="00423D20">
        <w:rPr>
          <w:rStyle w:val="Boldtext"/>
          <w:b w:val="0"/>
          <w:bCs/>
        </w:rPr>
        <w:t>architect</w:t>
      </w:r>
      <w:r w:rsidR="00423D20">
        <w:rPr>
          <w:rStyle w:val="Boldtext"/>
          <w:b w:val="0"/>
          <w:bCs/>
        </w:rPr>
        <w:t>.</w:t>
      </w:r>
    </w:p>
    <w:p w:rsidRPr="003F764D" w:rsidR="00012AB1" w:rsidP="00D732A2" w:rsidRDefault="00012AB1" w14:paraId="77ADB24E" w14:textId="77777777">
      <w:pPr>
        <w:pStyle w:val="ListParagraph"/>
        <w:numPr>
          <w:ilvl w:val="2"/>
          <w:numId w:val="7"/>
        </w:numPr>
        <w:spacing w:line="278" w:lineRule="auto"/>
        <w:jc w:val="both"/>
        <w:rPr>
          <w:rStyle w:val="Boldtext"/>
          <w:b w:val="0"/>
          <w:bCs/>
        </w:rPr>
      </w:pPr>
      <w:r w:rsidRPr="003F764D">
        <w:rPr>
          <w:rStyle w:val="Boldtext"/>
          <w:b w:val="0"/>
          <w:bCs/>
        </w:rPr>
        <w:t xml:space="preserve">Replacement of a major plant (built on site) such as a new Oxidizer Plant </w:t>
      </w:r>
    </w:p>
    <w:p w:rsidR="00BA5F33" w:rsidP="00D732A2" w:rsidRDefault="00BA5F33" w14:paraId="67D35E8C" w14:textId="77777777">
      <w:pPr>
        <w:pStyle w:val="ListParagraph"/>
        <w:spacing w:line="278" w:lineRule="auto"/>
        <w:ind w:left="431"/>
        <w:jc w:val="both"/>
        <w:rPr>
          <w:rStyle w:val="Boldtext"/>
        </w:rPr>
      </w:pPr>
    </w:p>
    <w:p w:rsidR="00CE569E" w:rsidP="00D732A2" w:rsidRDefault="00CE569E" w14:paraId="261D9862" w14:textId="05A6DAD5">
      <w:pPr>
        <w:pStyle w:val="ListParagraph"/>
        <w:numPr>
          <w:ilvl w:val="1"/>
          <w:numId w:val="7"/>
        </w:numPr>
        <w:spacing w:line="278" w:lineRule="auto"/>
        <w:ind w:left="431" w:hanging="431"/>
        <w:jc w:val="both"/>
        <w:rPr>
          <w:rStyle w:val="Boldtext"/>
          <w:b w:val="0"/>
          <w:bCs/>
        </w:rPr>
      </w:pPr>
      <w:r w:rsidRPr="00CE569E">
        <w:rPr>
          <w:rStyle w:val="Boldtext"/>
        </w:rPr>
        <w:t xml:space="preserve">Heat Recovery </w:t>
      </w:r>
      <w:r w:rsidRPr="00BA5F33">
        <w:rPr>
          <w:rStyle w:val="Boldtext"/>
          <w:b w:val="0"/>
          <w:bCs/>
        </w:rPr>
        <w:t xml:space="preserve">is intended to cover savings achieved by </w:t>
      </w:r>
      <w:r w:rsidRPr="00BA5F33" w:rsidR="00446512">
        <w:rPr>
          <w:rStyle w:val="Boldtext"/>
          <w:b w:val="0"/>
          <w:bCs/>
        </w:rPr>
        <w:t xml:space="preserve">recovering and reusing heat </w:t>
      </w:r>
      <w:r w:rsidRPr="00BA5F33" w:rsidR="00BD5688">
        <w:rPr>
          <w:rStyle w:val="Boldtext"/>
          <w:b w:val="0"/>
          <w:bCs/>
        </w:rPr>
        <w:t xml:space="preserve">not involving </w:t>
      </w:r>
      <w:r w:rsidRPr="00BA5F33" w:rsidR="003D0350">
        <w:rPr>
          <w:rStyle w:val="Boldtext"/>
          <w:b w:val="0"/>
          <w:bCs/>
        </w:rPr>
        <w:t xml:space="preserve">the use of a heat pump. </w:t>
      </w:r>
      <w:r w:rsidRPr="00BA5F33" w:rsidR="0064672D">
        <w:rPr>
          <w:rStyle w:val="Boldtext"/>
          <w:b w:val="0"/>
          <w:bCs/>
        </w:rPr>
        <w:t>Opp</w:t>
      </w:r>
      <w:r w:rsidRPr="00BA5F33" w:rsidR="00BE6386">
        <w:rPr>
          <w:rStyle w:val="Boldtext"/>
          <w:b w:val="0"/>
          <w:bCs/>
        </w:rPr>
        <w:t xml:space="preserve">ortunities involving the </w:t>
      </w:r>
      <w:r w:rsidRPr="00BA5F33" w:rsidR="00426F9B">
        <w:rPr>
          <w:rStyle w:val="Boldtext"/>
          <w:b w:val="0"/>
          <w:bCs/>
        </w:rPr>
        <w:t xml:space="preserve">use of a heat pump to displace </w:t>
      </w:r>
      <w:r w:rsidRPr="00BA5F33" w:rsidR="001E5C24">
        <w:rPr>
          <w:rStyle w:val="Boldtext"/>
          <w:b w:val="0"/>
          <w:bCs/>
        </w:rPr>
        <w:t>an incumbent fuel</w:t>
      </w:r>
      <w:r w:rsidRPr="00BA5F33" w:rsidR="000946E0">
        <w:rPr>
          <w:rStyle w:val="Boldtext"/>
          <w:b w:val="0"/>
          <w:bCs/>
        </w:rPr>
        <w:t>, such as</w:t>
      </w:r>
      <w:r w:rsidRPr="00BA5F33" w:rsidR="001E5C24">
        <w:rPr>
          <w:rStyle w:val="Boldtext"/>
          <w:b w:val="0"/>
          <w:bCs/>
        </w:rPr>
        <w:t xml:space="preserve"> </w:t>
      </w:r>
      <w:r w:rsidRPr="00BA5F33" w:rsidR="00933DA2">
        <w:rPr>
          <w:rStyle w:val="Boldtext"/>
          <w:b w:val="0"/>
          <w:bCs/>
        </w:rPr>
        <w:t xml:space="preserve">a gas boiler used for the generation of space heating, should be included </w:t>
      </w:r>
      <w:r w:rsidRPr="00BA5F33" w:rsidR="00080B6D">
        <w:rPr>
          <w:rStyle w:val="Boldtext"/>
          <w:b w:val="0"/>
          <w:bCs/>
        </w:rPr>
        <w:t>in the supply side savings measures.</w:t>
      </w:r>
      <w:r w:rsidRPr="00BA5F33">
        <w:rPr>
          <w:rStyle w:val="Boldtext"/>
          <w:b w:val="0"/>
          <w:bCs/>
        </w:rPr>
        <w:t xml:space="preserve"> </w:t>
      </w:r>
    </w:p>
    <w:p w:rsidRPr="00BA5F33" w:rsidR="00BA5F33" w:rsidP="00D732A2" w:rsidRDefault="00BA5F33" w14:paraId="0E4850C0" w14:textId="77777777">
      <w:pPr>
        <w:pStyle w:val="ListParagraph"/>
        <w:spacing w:line="278" w:lineRule="auto"/>
        <w:ind w:left="431"/>
        <w:jc w:val="both"/>
        <w:rPr>
          <w:rStyle w:val="Boldtext"/>
          <w:b w:val="0"/>
          <w:bCs/>
        </w:rPr>
      </w:pPr>
    </w:p>
    <w:p w:rsidRPr="003F764D" w:rsidR="00BA5F33" w:rsidP="7D187541" w:rsidRDefault="00CE569E" w14:paraId="2815ACFC" w14:textId="0B3A3D52">
      <w:pPr>
        <w:pStyle w:val="ListParagraph"/>
        <w:numPr>
          <w:ilvl w:val="1"/>
          <w:numId w:val="7"/>
        </w:numPr>
        <w:spacing w:line="278" w:lineRule="auto"/>
        <w:ind w:left="431" w:hanging="431"/>
        <w:jc w:val="both"/>
        <w:rPr>
          <w:rStyle w:val="Boldtext"/>
          <w:b w:val="0"/>
        </w:rPr>
      </w:pPr>
      <w:r w:rsidRPr="7D187541">
        <w:rPr>
          <w:rStyle w:val="Boldtext"/>
        </w:rPr>
        <w:t xml:space="preserve">New Technology Uptake </w:t>
      </w:r>
      <w:r w:rsidRPr="7D187541">
        <w:rPr>
          <w:rStyle w:val="Boldtext"/>
          <w:b w:val="0"/>
        </w:rPr>
        <w:t>is intended to cover the inventory of equipment, appliances, and replaceable component parts within the Facility. Covered by this tab would be for instance:</w:t>
      </w:r>
    </w:p>
    <w:p w:rsidRPr="00BA5F33" w:rsidR="00BA5F33" w:rsidP="00D732A2" w:rsidRDefault="00CE569E" w14:paraId="3063819E" w14:textId="6F75928A">
      <w:pPr>
        <w:pStyle w:val="ListParagraph"/>
        <w:numPr>
          <w:ilvl w:val="2"/>
          <w:numId w:val="7"/>
        </w:numPr>
        <w:spacing w:line="278" w:lineRule="auto"/>
        <w:jc w:val="both"/>
      </w:pPr>
      <w:r w:rsidRPr="00BA5F33">
        <w:t xml:space="preserve">Replacement of existing motors with the latest IE4 </w:t>
      </w:r>
      <w:r w:rsidRPr="00BA5F33" w:rsidR="00423D20">
        <w:t>motors</w:t>
      </w:r>
      <w:r w:rsidR="00423D20">
        <w:t>.</w:t>
      </w:r>
    </w:p>
    <w:p w:rsidRPr="00BA5F33" w:rsidR="00BA5F33" w:rsidP="00D732A2" w:rsidRDefault="00CE569E" w14:paraId="321226C5" w14:textId="06F746DD">
      <w:pPr>
        <w:pStyle w:val="ListParagraph"/>
        <w:numPr>
          <w:ilvl w:val="2"/>
          <w:numId w:val="7"/>
        </w:numPr>
        <w:spacing w:line="278" w:lineRule="auto"/>
        <w:jc w:val="both"/>
      </w:pPr>
      <w:r w:rsidRPr="00BA5F33">
        <w:t xml:space="preserve">Uptake of </w:t>
      </w:r>
      <w:r w:rsidRPr="00BA5F33" w:rsidR="00423D20">
        <w:t>VSDs</w:t>
      </w:r>
      <w:r w:rsidR="00423D20">
        <w:t>.</w:t>
      </w:r>
    </w:p>
    <w:p w:rsidR="00CE569E" w:rsidP="00D732A2" w:rsidRDefault="00CE569E" w14:paraId="6B373892" w14:textId="77777777">
      <w:pPr>
        <w:pStyle w:val="ListParagraph"/>
        <w:numPr>
          <w:ilvl w:val="2"/>
          <w:numId w:val="7"/>
        </w:numPr>
        <w:spacing w:line="278" w:lineRule="auto"/>
        <w:jc w:val="both"/>
      </w:pPr>
      <w:r w:rsidRPr="00BA5F33">
        <w:t>Replacement of an existing boiler.</w:t>
      </w:r>
    </w:p>
    <w:p w:rsidRPr="00BA5F33" w:rsidR="00912E37" w:rsidP="00D732A2" w:rsidRDefault="00912E37" w14:paraId="1B993264" w14:textId="77777777">
      <w:pPr>
        <w:pStyle w:val="ListParagraph"/>
        <w:spacing w:line="278" w:lineRule="auto"/>
        <w:ind w:left="1080"/>
        <w:jc w:val="both"/>
      </w:pPr>
    </w:p>
    <w:p w:rsidR="00CE569E" w:rsidP="00D732A2" w:rsidRDefault="00CE569E" w14:paraId="6DB006B0" w14:textId="40822576">
      <w:pPr>
        <w:pStyle w:val="ListParagraph"/>
        <w:numPr>
          <w:ilvl w:val="1"/>
          <w:numId w:val="7"/>
        </w:numPr>
        <w:spacing w:line="278" w:lineRule="auto"/>
        <w:ind w:left="431" w:hanging="431"/>
        <w:jc w:val="both"/>
        <w:rPr>
          <w:rStyle w:val="Boldtext"/>
          <w:b w:val="0"/>
          <w:bCs/>
        </w:rPr>
      </w:pPr>
      <w:r w:rsidRPr="003F764D">
        <w:rPr>
          <w:rStyle w:val="Boldtext"/>
          <w:b w:val="0"/>
          <w:bCs/>
        </w:rPr>
        <w:t>It may be that some of the replacements/upgrades are to products on the Energy Technology List.</w:t>
      </w:r>
    </w:p>
    <w:p w:rsidRPr="003F764D" w:rsidR="00105466" w:rsidP="00D732A2" w:rsidRDefault="00105466" w14:paraId="042FE338" w14:textId="77777777">
      <w:pPr>
        <w:pStyle w:val="ListParagraph"/>
        <w:spacing w:line="278" w:lineRule="auto"/>
        <w:ind w:left="431"/>
        <w:jc w:val="both"/>
        <w:rPr>
          <w:rStyle w:val="Boldtext"/>
          <w:b w:val="0"/>
          <w:bCs/>
        </w:rPr>
      </w:pPr>
    </w:p>
    <w:p w:rsidRPr="003F764D" w:rsidR="00012AB1" w:rsidP="7D187541" w:rsidRDefault="00012AB1" w14:paraId="5D9E5D89" w14:textId="3024FFEB">
      <w:pPr>
        <w:pStyle w:val="ListParagraph"/>
        <w:numPr>
          <w:ilvl w:val="1"/>
          <w:numId w:val="7"/>
        </w:numPr>
        <w:spacing w:line="278" w:lineRule="auto"/>
        <w:ind w:left="431" w:hanging="431"/>
        <w:jc w:val="both"/>
        <w:rPr>
          <w:rStyle w:val="Boldtext"/>
          <w:b w:val="0"/>
        </w:rPr>
      </w:pPr>
      <w:r w:rsidRPr="7D187541">
        <w:rPr>
          <w:rStyle w:val="Boldtext"/>
          <w:b w:val="0"/>
        </w:rPr>
        <w:t>The below table details the data inputs required within th</w:t>
      </w:r>
      <w:r w:rsidRPr="7D187541" w:rsidR="00211B75">
        <w:rPr>
          <w:rStyle w:val="Boldtext"/>
          <w:b w:val="0"/>
        </w:rPr>
        <w:t>is</w:t>
      </w:r>
      <w:r w:rsidRPr="7D187541">
        <w:rPr>
          <w:rStyle w:val="Boldtext"/>
          <w:b w:val="0"/>
        </w:rPr>
        <w:t xml:space="preserve"> tab.</w:t>
      </w:r>
    </w:p>
    <w:tbl>
      <w:tblPr>
        <w:tblStyle w:val="TableGrid"/>
        <w:tblW w:w="0" w:type="auto"/>
        <w:tblLook w:val="04A0" w:firstRow="1" w:lastRow="0" w:firstColumn="1" w:lastColumn="0" w:noHBand="0" w:noVBand="1"/>
      </w:tblPr>
      <w:tblGrid>
        <w:gridCol w:w="2689"/>
        <w:gridCol w:w="7371"/>
      </w:tblGrid>
      <w:tr w:rsidRPr="00202DE3" w:rsidR="00291C97" w:rsidTr="7D187541" w14:paraId="57B7B653" w14:textId="77777777">
        <w:tc>
          <w:tcPr>
            <w:tcW w:w="2689" w:type="dxa"/>
            <w:shd w:val="clear" w:color="auto" w:fill="66CCFF"/>
          </w:tcPr>
          <w:p w:rsidRPr="00711C2B" w:rsidR="00291C97" w:rsidP="00D732A2" w:rsidRDefault="00291C97" w14:paraId="1F772CB5" w14:textId="77777777">
            <w:pPr>
              <w:jc w:val="both"/>
              <w:rPr>
                <w:rStyle w:val="Boldtext"/>
              </w:rPr>
            </w:pPr>
            <w:bookmarkStart w:name="_Hlk111041259" w:id="12"/>
            <w:r w:rsidRPr="00711C2B">
              <w:rPr>
                <w:rStyle w:val="Boldtext"/>
              </w:rPr>
              <w:t>Workbook Tab</w:t>
            </w:r>
          </w:p>
        </w:tc>
        <w:tc>
          <w:tcPr>
            <w:tcW w:w="7371" w:type="dxa"/>
            <w:shd w:val="clear" w:color="auto" w:fill="E2EFD9" w:themeFill="accent6" w:themeFillTint="33"/>
          </w:tcPr>
          <w:p w:rsidRPr="00711C2B" w:rsidR="00291C97" w:rsidP="00D732A2" w:rsidRDefault="00291C97" w14:paraId="39FAF0B9" w14:textId="77777777">
            <w:pPr>
              <w:jc w:val="both"/>
              <w:rPr>
                <w:rStyle w:val="Boldtext"/>
              </w:rPr>
            </w:pPr>
            <w:r w:rsidRPr="00711C2B">
              <w:rPr>
                <w:rStyle w:val="Boldtext"/>
              </w:rPr>
              <w:t>Data Input</w:t>
            </w:r>
          </w:p>
        </w:tc>
      </w:tr>
      <w:tr w:rsidRPr="00202DE3" w:rsidR="00291C97" w:rsidTr="7D187541" w14:paraId="0D2A24E2" w14:textId="77777777">
        <w:tc>
          <w:tcPr>
            <w:tcW w:w="2689" w:type="dxa"/>
            <w:shd w:val="clear" w:color="auto" w:fill="66CCFF"/>
          </w:tcPr>
          <w:p w:rsidRPr="00711C2B" w:rsidR="00291C97" w:rsidP="00D732A2" w:rsidRDefault="00291C97" w14:paraId="3493BA20" w14:textId="3589D638">
            <w:pPr>
              <w:jc w:val="both"/>
            </w:pPr>
            <w:bookmarkStart w:name="_Hlk111040252" w:id="13"/>
            <w:bookmarkEnd w:id="12"/>
            <w:r>
              <w:t>D</w:t>
            </w:r>
            <w:r w:rsidRPr="0096538D">
              <w:t>emand Side Measures</w:t>
            </w:r>
          </w:p>
        </w:tc>
        <w:tc>
          <w:tcPr>
            <w:tcW w:w="7371" w:type="dxa"/>
            <w:shd w:val="clear" w:color="auto" w:fill="E2EFD9" w:themeFill="accent6" w:themeFillTint="33"/>
          </w:tcPr>
          <w:p w:rsidR="00704664" w:rsidP="7D187541" w:rsidRDefault="00704664" w14:paraId="084560F0" w14:textId="3F0DD22F">
            <w:pPr>
              <w:rPr>
                <w:b/>
                <w:bCs/>
              </w:rPr>
            </w:pPr>
            <w:r w:rsidRPr="7D187541">
              <w:rPr>
                <w:b/>
                <w:bCs/>
              </w:rPr>
              <w:t xml:space="preserve">Type of demand-side measure: </w:t>
            </w:r>
            <w:r w:rsidRPr="7D187541">
              <w:t>Classification of measures selected from a dropdown list.</w:t>
            </w:r>
            <w:r>
              <w:br/>
            </w:r>
            <w:r w:rsidRPr="7D187541" w:rsidR="00356AB6">
              <w:rPr>
                <w:b/>
                <w:bCs/>
              </w:rPr>
              <w:t>Demand</w:t>
            </w:r>
            <w:r w:rsidRPr="7D187541">
              <w:rPr>
                <w:b/>
                <w:bCs/>
              </w:rPr>
              <w:t xml:space="preserve">-side measure: </w:t>
            </w:r>
            <w:r w:rsidRPr="7D187541">
              <w:t>Short description of the measure.</w:t>
            </w:r>
          </w:p>
          <w:p w:rsidRPr="00711C2B" w:rsidR="00291C97" w:rsidP="00D732A2" w:rsidRDefault="00291C97" w14:paraId="225832D2" w14:textId="68B062BD">
            <w:pPr>
              <w:jc w:val="both"/>
            </w:pPr>
            <w:r w:rsidRPr="00711C2B">
              <w:rPr>
                <w:rStyle w:val="Boldtext"/>
              </w:rPr>
              <w:t>Energy Type:</w:t>
            </w:r>
            <w:r w:rsidRPr="00711C2B">
              <w:t xml:space="preserve"> selected from a dropdown list which will include </w:t>
            </w:r>
            <w:r>
              <w:t>e</w:t>
            </w:r>
            <w:r w:rsidRPr="0096538D">
              <w:t>lectricity and fuel for heat (including all</w:t>
            </w:r>
            <w:r w:rsidRPr="00711C2B">
              <w:t xml:space="preserve"> fuels</w:t>
            </w:r>
            <w:r>
              <w:t>)</w:t>
            </w:r>
            <w:r w:rsidR="00BD0C4D">
              <w:t>.</w:t>
            </w:r>
            <w:r w:rsidRPr="00711C2B" w:rsidDel="009A0E21">
              <w:t xml:space="preserve"> </w:t>
            </w:r>
            <w:r w:rsidRPr="00D14819" w:rsidR="00D14819">
              <w:t>If, for example, nitrogen is used for cooling purposes, it should also be included within fuel for heat.</w:t>
            </w:r>
          </w:p>
          <w:p w:rsidRPr="00711C2B" w:rsidR="00291C97" w:rsidP="00D732A2" w:rsidRDefault="00291C97" w14:paraId="6DC64F15" w14:textId="7CFBFC0D">
            <w:pPr>
              <w:jc w:val="both"/>
            </w:pPr>
            <w:r w:rsidRPr="59634107">
              <w:rPr>
                <w:rStyle w:val="Boldtext"/>
              </w:rPr>
              <w:t>Proportion of consumption impacted:</w:t>
            </w:r>
            <w:r w:rsidRPr="59634107">
              <w:t xml:space="preserve"> </w:t>
            </w:r>
            <w:r w:rsidRPr="59634107" w:rsidR="00FA64DE">
              <w:t xml:space="preserve">The proportion of the site fuel that goes to the process the demand side measure addresses. </w:t>
            </w:r>
          </w:p>
          <w:p w:rsidRPr="00711C2B" w:rsidR="00291C97" w:rsidP="00D732A2" w:rsidRDefault="00291C97" w14:paraId="60164F1F" w14:textId="4EE0458F">
            <w:pPr>
              <w:jc w:val="both"/>
            </w:pPr>
            <w:r w:rsidRPr="59634107">
              <w:rPr>
                <w:rStyle w:val="Boldtext"/>
              </w:rPr>
              <w:t>Anticipated Energy Savings:</w:t>
            </w:r>
            <w:r w:rsidRPr="59634107">
              <w:t xml:space="preserve"> The percentage savings that are expected, based on current energy consumption and predicted energy consumption for the applicable proportions (defined above). This may be determined using manufacturers’ data. </w:t>
            </w:r>
            <w:r w:rsidRPr="59634107" w:rsidR="0046044F">
              <w:t>Energy savings should reflect the anticipat</w:t>
            </w:r>
            <w:r w:rsidRPr="59634107" w:rsidR="00694E3C">
              <w:t>ed</w:t>
            </w:r>
            <w:r w:rsidRPr="59634107" w:rsidR="0046044F">
              <w:t xml:space="preserve"> savings from the measure in isolation.</w:t>
            </w:r>
          </w:p>
          <w:p w:rsidR="00291C97" w:rsidP="00D732A2" w:rsidRDefault="00291C97" w14:paraId="52E63DCA" w14:textId="77777777">
            <w:pPr>
              <w:jc w:val="both"/>
            </w:pPr>
            <w:r w:rsidRPr="00711C2B">
              <w:rPr>
                <w:rStyle w:val="Boldtext"/>
              </w:rPr>
              <w:t>Basis for estimates provided:</w:t>
            </w:r>
            <w:r w:rsidRPr="00711C2B">
              <w:t xml:space="preserve"> Explanation for savings % given. For example, this could have been sourced from an ESOS audit, an ISO 500001 report, internal investment planning, etc.</w:t>
            </w:r>
          </w:p>
          <w:p w:rsidRPr="00711C2B" w:rsidR="00184646" w:rsidP="00D732A2" w:rsidRDefault="00184646" w14:paraId="387C603F" w14:textId="057E8356">
            <w:pPr>
              <w:jc w:val="both"/>
            </w:pPr>
            <w:r w:rsidRPr="59634107">
              <w:rPr>
                <w:b/>
                <w:bCs/>
              </w:rPr>
              <w:t xml:space="preserve">Is Measure Already </w:t>
            </w:r>
            <w:proofErr w:type="gramStart"/>
            <w:r w:rsidRPr="59634107">
              <w:rPr>
                <w:b/>
                <w:bCs/>
              </w:rPr>
              <w:t>Implemented?:</w:t>
            </w:r>
            <w:proofErr w:type="gramEnd"/>
            <w:r w:rsidRPr="59634107" w:rsidR="00D52C3E">
              <w:t xml:space="preserve"> Indicates whether the measure has already been implemented when completing the SAT.</w:t>
            </w:r>
          </w:p>
          <w:p w:rsidRPr="00711C2B" w:rsidR="00291C97" w:rsidP="00D732A2" w:rsidRDefault="00291C97" w14:paraId="65DD4CF1" w14:textId="5F9AAA64">
            <w:pPr>
              <w:jc w:val="both"/>
            </w:pPr>
            <w:r w:rsidRPr="59634107">
              <w:rPr>
                <w:rStyle w:val="Boldtext"/>
              </w:rPr>
              <w:t>Anticipated Implementation Year with CCA:</w:t>
            </w:r>
            <w:r w:rsidRPr="59634107">
              <w:t xml:space="preserve"> Year in which measure is likely to be implemented</w:t>
            </w:r>
            <w:r w:rsidRPr="59634107" w:rsidR="1AE7D81E">
              <w:t xml:space="preserve"> </w:t>
            </w:r>
            <w:proofErr w:type="gramStart"/>
            <w:r w:rsidRPr="59634107" w:rsidR="1AE7D81E">
              <w:t>as a result of</w:t>
            </w:r>
            <w:proofErr w:type="gramEnd"/>
            <w:r w:rsidRPr="59634107" w:rsidR="1AE7D81E">
              <w:t xml:space="preserve"> participating in the new CCA scheme</w:t>
            </w:r>
            <w:r w:rsidRPr="59634107">
              <w:t xml:space="preserve">. If measure is composed of several smaller changes, or gradual progress changes, then an average year might be appropriate. </w:t>
            </w:r>
          </w:p>
          <w:p w:rsidR="00291C97" w:rsidP="00D732A2" w:rsidRDefault="00291C97" w14:paraId="1601CA88" w14:textId="5D505AD8">
            <w:pPr>
              <w:jc w:val="both"/>
            </w:pPr>
            <w:r w:rsidRPr="245CDD11">
              <w:rPr>
                <w:b/>
                <w:bCs/>
              </w:rPr>
              <w:t>Anticipated Implementation Year without CCA:</w:t>
            </w:r>
            <w:r>
              <w:t xml:space="preserve"> Estimated year in which measure is likely to be implemented IF FACILITY WAS NOT IN NEW CCA SCHEME</w:t>
            </w:r>
            <w:r w:rsidR="003363CC">
              <w:t>,</w:t>
            </w:r>
            <w:r w:rsidR="6464B9AF">
              <w:t xml:space="preserve"> i.e.</w:t>
            </w:r>
            <w:r w:rsidR="00E74259">
              <w:t xml:space="preserve"> if the</w:t>
            </w:r>
            <w:r w:rsidR="6464B9AF">
              <w:t xml:space="preserve"> facility had to pay full rates of CCL</w:t>
            </w:r>
            <w:r>
              <w:t>.</w:t>
            </w:r>
          </w:p>
          <w:p w:rsidRPr="00C740DD" w:rsidR="00291C97" w:rsidP="00D732A2" w:rsidRDefault="005B6496" w14:paraId="36AEE97D" w14:textId="721C7344">
            <w:pPr>
              <w:jc w:val="both"/>
            </w:pPr>
            <w:r w:rsidRPr="7149C8A6">
              <w:rPr>
                <w:b/>
                <w:bCs/>
              </w:rPr>
              <w:t xml:space="preserve">Payback time: </w:t>
            </w:r>
            <w:r w:rsidR="00B24B4F">
              <w:t>Expected payback period.</w:t>
            </w:r>
            <w:r w:rsidR="49EDD215">
              <w:t xml:space="preserve"> </w:t>
            </w:r>
            <w:r w:rsidR="00526843">
              <w:t>Please provide your best estimate.</w:t>
            </w:r>
          </w:p>
        </w:tc>
      </w:tr>
      <w:bookmarkEnd w:id="13"/>
    </w:tbl>
    <w:p w:rsidR="00105466" w:rsidP="00D732A2" w:rsidRDefault="00105466" w14:paraId="7FBF1996" w14:textId="77777777">
      <w:pPr>
        <w:pStyle w:val="ListParagraph"/>
        <w:spacing w:line="278" w:lineRule="auto"/>
        <w:ind w:left="431"/>
        <w:jc w:val="both"/>
      </w:pPr>
    </w:p>
    <w:p w:rsidRPr="00711C2B" w:rsidR="00105466" w:rsidP="00D732A2" w:rsidRDefault="00012AB1" w14:paraId="14FBD8C7" w14:textId="0601960D">
      <w:pPr>
        <w:pStyle w:val="ListParagraph"/>
        <w:numPr>
          <w:ilvl w:val="1"/>
          <w:numId w:val="7"/>
        </w:numPr>
        <w:spacing w:line="278" w:lineRule="auto"/>
        <w:ind w:left="431" w:hanging="431"/>
        <w:jc w:val="both"/>
      </w:pPr>
      <w:r w:rsidRPr="59634107">
        <w:rPr>
          <w:rStyle w:val="Boldtext"/>
          <w:b w:val="0"/>
        </w:rPr>
        <w:t xml:space="preserve">As an </w:t>
      </w:r>
      <w:r w:rsidRPr="59634107" w:rsidR="007F3E20">
        <w:rPr>
          <w:rStyle w:val="Boldtext"/>
          <w:b w:val="0"/>
        </w:rPr>
        <w:t>example,</w:t>
      </w:r>
      <w:r w:rsidRPr="59634107">
        <w:rPr>
          <w:rStyle w:val="Boldtext"/>
          <w:b w:val="0"/>
        </w:rPr>
        <w:t xml:space="preserve"> consider a Facility which </w:t>
      </w:r>
      <w:proofErr w:type="gramStart"/>
      <w:r w:rsidRPr="59634107">
        <w:rPr>
          <w:rStyle w:val="Boldtext"/>
          <w:b w:val="0"/>
        </w:rPr>
        <w:t xml:space="preserve">used  </w:t>
      </w:r>
      <w:r w:rsidRPr="59634107" w:rsidR="00B52186">
        <w:rPr>
          <w:rStyle w:val="Boldtext"/>
          <w:b w:val="0"/>
        </w:rPr>
        <w:t>57,693</w:t>
      </w:r>
      <w:proofErr w:type="gramEnd"/>
      <w:r w:rsidRPr="59634107" w:rsidR="00250E36">
        <w:rPr>
          <w:rStyle w:val="Boldtext"/>
          <w:b w:val="0"/>
        </w:rPr>
        <w:t xml:space="preserve"> </w:t>
      </w:r>
      <w:r w:rsidRPr="59634107">
        <w:rPr>
          <w:rStyle w:val="Boldtext"/>
          <w:b w:val="0"/>
        </w:rPr>
        <w:t xml:space="preserve">units of </w:t>
      </w:r>
      <w:r w:rsidRPr="59634107" w:rsidR="00250E36">
        <w:rPr>
          <w:rStyle w:val="Boldtext"/>
          <w:b w:val="0"/>
        </w:rPr>
        <w:t>delivered electricity (</w:t>
      </w:r>
      <w:r w:rsidRPr="59634107" w:rsidR="006D587B">
        <w:rPr>
          <w:rStyle w:val="Boldtext"/>
          <w:b w:val="0"/>
        </w:rPr>
        <w:t>100,001</w:t>
      </w:r>
      <w:r w:rsidRPr="59634107" w:rsidR="00250E36">
        <w:rPr>
          <w:rStyle w:val="Boldtext"/>
          <w:b w:val="0"/>
        </w:rPr>
        <w:t xml:space="preserve"> units of primary electricity)</w:t>
      </w:r>
      <w:r w:rsidRPr="59634107">
        <w:rPr>
          <w:rStyle w:val="Boldtext"/>
          <w:b w:val="0"/>
        </w:rPr>
        <w:t xml:space="preserve"> in its base year. It </w:t>
      </w:r>
      <w:r w:rsidRPr="59634107" w:rsidR="00F674BA">
        <w:rPr>
          <w:rStyle w:val="Boldtext"/>
          <w:b w:val="0"/>
        </w:rPr>
        <w:t>implement</w:t>
      </w:r>
      <w:r w:rsidRPr="59634107" w:rsidR="00BD077A">
        <w:rPr>
          <w:rStyle w:val="Boldtext"/>
          <w:b w:val="0"/>
        </w:rPr>
        <w:t>s</w:t>
      </w:r>
      <w:r w:rsidRPr="59634107" w:rsidR="00F674BA">
        <w:rPr>
          <w:rStyle w:val="Boldtext"/>
          <w:b w:val="0"/>
        </w:rPr>
        <w:t xml:space="preserve"> </w:t>
      </w:r>
      <w:r w:rsidRPr="59634107">
        <w:rPr>
          <w:rStyle w:val="Boldtext"/>
          <w:b w:val="0"/>
        </w:rPr>
        <w:t xml:space="preserve">an </w:t>
      </w:r>
      <w:r w:rsidRPr="59634107" w:rsidR="00F674BA">
        <w:rPr>
          <w:rStyle w:val="Boldtext"/>
          <w:b w:val="0"/>
        </w:rPr>
        <w:t>energy management</w:t>
      </w:r>
      <w:r w:rsidRPr="59634107" w:rsidR="000A1A1B">
        <w:rPr>
          <w:rStyle w:val="Boldtext"/>
          <w:b w:val="0"/>
        </w:rPr>
        <w:t xml:space="preserve"> </w:t>
      </w:r>
      <w:r w:rsidRPr="59634107">
        <w:rPr>
          <w:rStyle w:val="Boldtext"/>
          <w:b w:val="0"/>
        </w:rPr>
        <w:t>improvement</w:t>
      </w:r>
      <w:r w:rsidRPr="59634107" w:rsidR="000A1A1B">
        <w:rPr>
          <w:rStyle w:val="Boldtext"/>
          <w:b w:val="0"/>
        </w:rPr>
        <w:t xml:space="preserve"> (</w:t>
      </w:r>
      <w:r w:rsidRPr="59634107" w:rsidR="00F674BA">
        <w:rPr>
          <w:rStyle w:val="Boldtext"/>
          <w:b w:val="0"/>
        </w:rPr>
        <w:t>improved zone control of building aircon</w:t>
      </w:r>
      <w:r w:rsidRPr="59634107" w:rsidR="000A1A1B">
        <w:rPr>
          <w:rStyle w:val="Boldtext"/>
          <w:b w:val="0"/>
        </w:rPr>
        <w:t>)</w:t>
      </w:r>
      <w:r w:rsidRPr="59634107">
        <w:rPr>
          <w:rStyle w:val="Boldtext"/>
          <w:b w:val="0"/>
        </w:rPr>
        <w:t xml:space="preserve">, but it does not have submetering at the level necessary to know exactly what proportion of its </w:t>
      </w:r>
      <w:r w:rsidRPr="59634107" w:rsidR="00937E7A">
        <w:rPr>
          <w:rStyle w:val="Boldtext"/>
          <w:b w:val="0"/>
        </w:rPr>
        <w:t>electricity</w:t>
      </w:r>
      <w:r w:rsidRPr="59634107">
        <w:rPr>
          <w:rStyle w:val="Boldtext"/>
          <w:b w:val="0"/>
        </w:rPr>
        <w:t xml:space="preserve"> consumption </w:t>
      </w:r>
      <w:r w:rsidRPr="59634107" w:rsidR="00F674BA">
        <w:rPr>
          <w:rStyle w:val="Boldtext"/>
          <w:b w:val="0"/>
        </w:rPr>
        <w:t>was</w:t>
      </w:r>
      <w:r w:rsidRPr="59634107">
        <w:rPr>
          <w:rStyle w:val="Boldtext"/>
          <w:b w:val="0"/>
        </w:rPr>
        <w:t xml:space="preserve"> impacted by this improvement. However, it estimates that </w:t>
      </w:r>
      <w:r w:rsidRPr="59634107" w:rsidR="00F674BA">
        <w:rPr>
          <w:rStyle w:val="Boldtext"/>
          <w:b w:val="0"/>
        </w:rPr>
        <w:t>15</w:t>
      </w:r>
      <w:r w:rsidRPr="59634107">
        <w:rPr>
          <w:rStyle w:val="Boldtext"/>
          <w:b w:val="0"/>
        </w:rPr>
        <w:t xml:space="preserve">% of </w:t>
      </w:r>
      <w:r w:rsidRPr="59634107" w:rsidR="00F674BA">
        <w:rPr>
          <w:rStyle w:val="Boldtext"/>
          <w:b w:val="0"/>
        </w:rPr>
        <w:t>the electricity</w:t>
      </w:r>
      <w:r w:rsidRPr="59634107">
        <w:rPr>
          <w:rStyle w:val="Boldtext"/>
          <w:b w:val="0"/>
        </w:rPr>
        <w:t xml:space="preserve"> consumption will be impacted by the improvement. The anticipated savings from the action are 2% of the </w:t>
      </w:r>
      <w:r w:rsidRPr="59634107" w:rsidR="001E55ED">
        <w:rPr>
          <w:rStyle w:val="Boldtext"/>
          <w:b w:val="0"/>
        </w:rPr>
        <w:t>electricity</w:t>
      </w:r>
      <w:r w:rsidRPr="59634107">
        <w:rPr>
          <w:rStyle w:val="Boldtext"/>
          <w:b w:val="0"/>
        </w:rPr>
        <w:t xml:space="preserve"> currently consumed. The anticipated </w:t>
      </w:r>
      <w:r w:rsidRPr="59634107" w:rsidR="001E55ED">
        <w:rPr>
          <w:rStyle w:val="Boldtext"/>
          <w:b w:val="0"/>
        </w:rPr>
        <w:t>electricity</w:t>
      </w:r>
      <w:r w:rsidRPr="59634107">
        <w:rPr>
          <w:rStyle w:val="Boldtext"/>
          <w:b w:val="0"/>
        </w:rPr>
        <w:t xml:space="preserve"> savings are then:</w:t>
      </w:r>
      <w:r w:rsidRPr="59634107">
        <w:t xml:space="preserve"> </w:t>
      </w:r>
    </w:p>
    <w:p w:rsidR="00DC2448" w:rsidP="00D732A2" w:rsidRDefault="00DC2448" w14:paraId="144CE74C" w14:textId="77777777">
      <w:pPr>
        <w:pStyle w:val="ListParagraph"/>
        <w:spacing w:line="278" w:lineRule="auto"/>
        <w:ind w:left="431"/>
        <w:jc w:val="both"/>
      </w:pPr>
    </w:p>
    <w:p w:rsidRPr="00105466" w:rsidR="00012AB1" w:rsidP="00D732A2" w:rsidRDefault="00B549BB" w14:paraId="4B364FB8" w14:textId="332757EE">
      <w:pPr>
        <w:pStyle w:val="ListParagraph"/>
        <w:numPr>
          <w:ilvl w:val="1"/>
          <w:numId w:val="7"/>
        </w:numPr>
        <w:spacing w:line="278" w:lineRule="auto"/>
        <w:ind w:left="431" w:hanging="431"/>
        <w:jc w:val="both"/>
      </w:pPr>
      <w:r w:rsidRPr="00105466">
        <w:t>E</w:t>
      </w:r>
      <w:r w:rsidRPr="00105466" w:rsidR="00012AB1">
        <w:t xml:space="preserve">nergy savings = </w:t>
      </w:r>
      <w:r w:rsidRPr="00105466" w:rsidR="008A2D16">
        <w:t>100,</w:t>
      </w:r>
      <w:r w:rsidRPr="00105466" w:rsidR="001E55ED">
        <w:t xml:space="preserve">001 </w:t>
      </w:r>
      <w:r w:rsidRPr="00105466" w:rsidR="002B488B">
        <w:t xml:space="preserve">x </w:t>
      </w:r>
      <w:r w:rsidRPr="00105466" w:rsidR="001E55ED">
        <w:t>15</w:t>
      </w:r>
      <w:r w:rsidRPr="00105466" w:rsidR="002B488B">
        <w:t>%</w:t>
      </w:r>
      <w:r w:rsidRPr="00105466" w:rsidR="00012AB1">
        <w:t xml:space="preserve"> x 2% = </w:t>
      </w:r>
      <w:r w:rsidRPr="00105466" w:rsidR="00803259">
        <w:t>300</w:t>
      </w:r>
      <w:r w:rsidRPr="00105466" w:rsidR="00BD00F2">
        <w:t xml:space="preserve"> </w:t>
      </w:r>
      <w:r w:rsidRPr="00105466" w:rsidR="00012AB1">
        <w:t>units</w:t>
      </w:r>
    </w:p>
    <w:p w:rsidRPr="00711C2B" w:rsidR="00012AB1" w:rsidP="00D732A2" w:rsidRDefault="00012AB1" w14:paraId="7D9D3449" w14:textId="77777777">
      <w:pPr>
        <w:pStyle w:val="Heading2"/>
        <w:numPr>
          <w:ilvl w:val="0"/>
          <w:numId w:val="7"/>
        </w:numPr>
        <w:jc w:val="both"/>
        <w:rPr>
          <w:rFonts w:ascii="Aptos" w:hAnsi="Aptos"/>
        </w:rPr>
      </w:pPr>
      <w:bookmarkStart w:name="_Toc190180802" w:id="14"/>
      <w:bookmarkStart w:name="_Toc190180910" w:id="15"/>
      <w:bookmarkStart w:name="_Toc190181042" w:id="16"/>
      <w:bookmarkStart w:name="_Toc190700711" w:id="17"/>
      <w:r w:rsidRPr="00711C2B">
        <w:rPr>
          <w:rFonts w:ascii="Aptos" w:hAnsi="Aptos"/>
        </w:rPr>
        <w:t>Energy Supply Savings</w:t>
      </w:r>
      <w:bookmarkEnd w:id="14"/>
      <w:bookmarkEnd w:id="15"/>
      <w:bookmarkEnd w:id="16"/>
      <w:bookmarkEnd w:id="17"/>
    </w:p>
    <w:p w:rsidRPr="00711C2B" w:rsidR="00012AB1" w:rsidP="00D732A2" w:rsidRDefault="00012AB1" w14:paraId="12EBCAAF" w14:textId="1699E86B">
      <w:pPr>
        <w:pStyle w:val="ListParagraph"/>
        <w:numPr>
          <w:ilvl w:val="1"/>
          <w:numId w:val="7"/>
        </w:numPr>
        <w:spacing w:line="278" w:lineRule="auto"/>
        <w:ind w:left="431" w:hanging="431"/>
        <w:jc w:val="both"/>
      </w:pPr>
      <w:r w:rsidRPr="00711C2B">
        <w:t xml:space="preserve">There are </w:t>
      </w:r>
      <w:r w:rsidR="00634B84">
        <w:t>2</w:t>
      </w:r>
      <w:r w:rsidRPr="00711C2B" w:rsidR="00634B84">
        <w:t xml:space="preserve"> </w:t>
      </w:r>
      <w:r w:rsidRPr="00711C2B">
        <w:t>tabs covering potential changes on the energy supply side:</w:t>
      </w:r>
    </w:p>
    <w:tbl>
      <w:tblPr>
        <w:tblStyle w:val="TableGrid"/>
        <w:tblW w:w="0" w:type="auto"/>
        <w:tblLook w:val="04A0" w:firstRow="1" w:lastRow="0" w:firstColumn="1" w:lastColumn="0" w:noHBand="0" w:noVBand="1"/>
      </w:tblPr>
      <w:tblGrid>
        <w:gridCol w:w="2263"/>
        <w:gridCol w:w="6753"/>
      </w:tblGrid>
      <w:tr w:rsidRPr="00202DE3" w:rsidR="00012AB1" w14:paraId="5C4DF40A" w14:textId="77777777">
        <w:tc>
          <w:tcPr>
            <w:tcW w:w="2263" w:type="dxa"/>
          </w:tcPr>
          <w:p w:rsidRPr="00711C2B" w:rsidR="00012AB1" w:rsidP="00D732A2" w:rsidRDefault="00012AB1" w14:paraId="7ACB6048" w14:textId="77777777">
            <w:pPr>
              <w:jc w:val="both"/>
            </w:pPr>
            <w:r w:rsidRPr="00711C2B">
              <w:t>Energy Supply</w:t>
            </w:r>
          </w:p>
        </w:tc>
        <w:tc>
          <w:tcPr>
            <w:tcW w:w="6753" w:type="dxa"/>
          </w:tcPr>
          <w:p w:rsidRPr="00711C2B" w:rsidR="00012AB1" w:rsidP="000155C3" w:rsidRDefault="002D70D0" w14:paraId="673999A6" w14:textId="54DE64E8">
            <w:pPr>
              <w:pStyle w:val="DESNZbulletedlist"/>
              <w:rPr>
                <w:rFonts w:ascii="Aptos" w:hAnsi="Aptos"/>
              </w:rPr>
            </w:pPr>
            <w:r w:rsidRPr="00711C2B">
              <w:rPr>
                <w:rFonts w:ascii="Aptos" w:hAnsi="Aptos"/>
              </w:rPr>
              <w:t xml:space="preserve">4a: </w:t>
            </w:r>
            <w:r w:rsidRPr="00711C2B" w:rsidR="002E4E3F">
              <w:rPr>
                <w:rFonts w:ascii="Aptos" w:hAnsi="Aptos"/>
              </w:rPr>
              <w:t xml:space="preserve">Supply side measures (e.g. switching Non-Renewable Fuel, </w:t>
            </w:r>
            <w:r w:rsidR="002E4E3F">
              <w:rPr>
                <w:rFonts w:ascii="Aptos" w:hAnsi="Aptos"/>
              </w:rPr>
              <w:t>switching to Renewable Power</w:t>
            </w:r>
            <w:r w:rsidRPr="00711C2B" w:rsidR="002E4E3F">
              <w:rPr>
                <w:rFonts w:ascii="Aptos" w:hAnsi="Aptos"/>
              </w:rPr>
              <w:t>,</w:t>
            </w:r>
            <w:r w:rsidR="0073498F">
              <w:rPr>
                <w:rFonts w:ascii="Aptos" w:hAnsi="Aptos"/>
              </w:rPr>
              <w:t xml:space="preserve"> </w:t>
            </w:r>
            <w:r w:rsidRPr="00711C2B" w:rsidR="002E4E3F">
              <w:rPr>
                <w:rFonts w:ascii="Aptos" w:hAnsi="Aptos"/>
              </w:rPr>
              <w:t xml:space="preserve">or </w:t>
            </w:r>
            <w:r w:rsidR="0073498F">
              <w:rPr>
                <w:rFonts w:ascii="Aptos" w:hAnsi="Aptos"/>
              </w:rPr>
              <w:t>switching to</w:t>
            </w:r>
            <w:r w:rsidRPr="00711C2B" w:rsidR="0073498F">
              <w:rPr>
                <w:rFonts w:ascii="Aptos" w:hAnsi="Aptos"/>
              </w:rPr>
              <w:t xml:space="preserve"> </w:t>
            </w:r>
            <w:r w:rsidRPr="00711C2B" w:rsidR="002E4E3F">
              <w:rPr>
                <w:rFonts w:ascii="Aptos" w:hAnsi="Aptos"/>
              </w:rPr>
              <w:t>Biomass Heating)</w:t>
            </w:r>
          </w:p>
          <w:p w:rsidRPr="00787A64" w:rsidR="00A8044E" w:rsidP="000155C3" w:rsidRDefault="00845A56" w14:paraId="6D57CC85" w14:textId="7C221C7D">
            <w:pPr>
              <w:pStyle w:val="DESNZbulletedlist"/>
              <w:rPr>
                <w:rFonts w:ascii="Aptos" w:hAnsi="Aptos"/>
              </w:rPr>
            </w:pPr>
            <w:r w:rsidRPr="00711C2B">
              <w:rPr>
                <w:rFonts w:ascii="Aptos" w:hAnsi="Aptos"/>
              </w:rPr>
              <w:t xml:space="preserve">4b: </w:t>
            </w:r>
            <w:r w:rsidRPr="00711C2B" w:rsidR="002E4E3F">
              <w:rPr>
                <w:rFonts w:ascii="Aptos" w:hAnsi="Aptos"/>
              </w:rPr>
              <w:t>Combined Heat and Power (CHP)</w:t>
            </w:r>
          </w:p>
        </w:tc>
      </w:tr>
    </w:tbl>
    <w:p w:rsidR="00DC2448" w:rsidP="00D732A2" w:rsidRDefault="00DC2448" w14:paraId="406D4CFE" w14:textId="77777777">
      <w:pPr>
        <w:pStyle w:val="ListParagraph"/>
        <w:spacing w:line="278" w:lineRule="auto"/>
        <w:ind w:left="431"/>
        <w:jc w:val="both"/>
      </w:pPr>
    </w:p>
    <w:p w:rsidRPr="003F764D" w:rsidR="00451B6E" w:rsidP="00D732A2" w:rsidRDefault="5C15FB72" w14:paraId="3A142426" w14:textId="756D5955">
      <w:pPr>
        <w:pStyle w:val="ListParagraph"/>
        <w:numPr>
          <w:ilvl w:val="1"/>
          <w:numId w:val="7"/>
        </w:numPr>
        <w:spacing w:line="278" w:lineRule="auto"/>
        <w:ind w:left="431" w:hanging="431"/>
        <w:jc w:val="both"/>
      </w:pPr>
      <w:r>
        <w:t xml:space="preserve">Rows needed to be entered in these tabs for: </w:t>
      </w:r>
    </w:p>
    <w:p w:rsidRPr="003F764D" w:rsidR="00451B6E" w:rsidP="00D732A2" w:rsidRDefault="00A74F90" w14:paraId="7B2DC850" w14:textId="7964FF4F">
      <w:pPr>
        <w:pStyle w:val="ListParagraph"/>
        <w:numPr>
          <w:ilvl w:val="2"/>
          <w:numId w:val="7"/>
        </w:numPr>
        <w:spacing w:line="278" w:lineRule="auto"/>
        <w:jc w:val="both"/>
      </w:pPr>
      <w:r w:rsidRPr="59634107">
        <w:t>All supply side measures already implemented that impact the 2022 baseline</w:t>
      </w:r>
      <w:r w:rsidRPr="59634107" w:rsidR="00DC2448">
        <w:t xml:space="preserve">; and </w:t>
      </w:r>
    </w:p>
    <w:p w:rsidRPr="003F764D" w:rsidR="00451B6E" w:rsidP="00D732A2" w:rsidRDefault="4915381F" w14:paraId="29F5DABF" w14:textId="34137EEE">
      <w:pPr>
        <w:pStyle w:val="ListParagraph"/>
        <w:numPr>
          <w:ilvl w:val="2"/>
          <w:numId w:val="7"/>
        </w:numPr>
        <w:spacing w:line="278" w:lineRule="auto"/>
        <w:jc w:val="both"/>
      </w:pPr>
      <w:r w:rsidRPr="59634107">
        <w:t>All</w:t>
      </w:r>
      <w:r w:rsidRPr="59634107" w:rsidR="00A74F90">
        <w:t xml:space="preserve"> </w:t>
      </w:r>
      <w:r w:rsidRPr="59634107" w:rsidR="5AE2A28F">
        <w:t>supply side</w:t>
      </w:r>
      <w:r w:rsidRPr="59634107" w:rsidR="00A74F90">
        <w:t xml:space="preserve"> measures the facility intends to undertake </w:t>
      </w:r>
      <w:proofErr w:type="gramStart"/>
      <w:r w:rsidRPr="59634107" w:rsidR="00A74F90">
        <w:t>as a result of</w:t>
      </w:r>
      <w:proofErr w:type="gramEnd"/>
      <w:r w:rsidRPr="59634107" w:rsidR="00A74F90">
        <w:t xml:space="preserve"> the CCA</w:t>
      </w:r>
      <w:r w:rsidRPr="59634107" w:rsidR="05DD2E59">
        <w:t>.</w:t>
      </w:r>
      <w:r w:rsidRPr="59634107" w:rsidR="501EE156">
        <w:t xml:space="preserve"> </w:t>
      </w:r>
    </w:p>
    <w:p w:rsidR="00DC2448" w:rsidP="00D732A2" w:rsidRDefault="00DC2448" w14:paraId="4F6113D1" w14:textId="77777777">
      <w:pPr>
        <w:pStyle w:val="ListParagraph"/>
        <w:spacing w:line="278" w:lineRule="auto"/>
        <w:ind w:left="431"/>
        <w:jc w:val="both"/>
      </w:pPr>
    </w:p>
    <w:p w:rsidRPr="003F764D" w:rsidR="00451B6E" w:rsidP="00D732A2" w:rsidRDefault="501EE156" w14:paraId="7BC6DC68" w14:textId="76A1B4CA">
      <w:pPr>
        <w:pStyle w:val="ListParagraph"/>
        <w:numPr>
          <w:ilvl w:val="1"/>
          <w:numId w:val="7"/>
        </w:numPr>
        <w:spacing w:line="278" w:lineRule="auto"/>
        <w:ind w:left="431" w:hanging="431"/>
        <w:jc w:val="both"/>
      </w:pPr>
      <w:r w:rsidRPr="59634107">
        <w:t xml:space="preserve">Measures included in this tab must be listed in </w:t>
      </w:r>
      <w:r w:rsidRPr="59634107" w:rsidR="004A3953">
        <w:t>chronological</w:t>
      </w:r>
      <w:r w:rsidRPr="59634107">
        <w:t xml:space="preserve"> order, from the first implemented to the last implemented or to be implemented.</w:t>
      </w:r>
      <w:r w:rsidRPr="59634107" w:rsidR="7203FBCF">
        <w:t xml:space="preserve"> Operators should submit one row per measure per fuel type that is impacted. </w:t>
      </w:r>
      <w:r w:rsidRPr="59634107" w:rsidR="00713E04">
        <w:t>If</w:t>
      </w:r>
      <w:r w:rsidRPr="59634107" w:rsidR="7203FBCF">
        <w:t xml:space="preserve"> a measure impacts multiple fuel types, operators should submit multiple lines.</w:t>
      </w:r>
    </w:p>
    <w:p w:rsidR="00DC2448" w:rsidP="00D732A2" w:rsidRDefault="00DC2448" w14:paraId="6AAF02D5" w14:textId="77777777">
      <w:pPr>
        <w:pStyle w:val="ListParagraph"/>
        <w:spacing w:line="278" w:lineRule="auto"/>
        <w:ind w:left="431"/>
        <w:jc w:val="both"/>
      </w:pPr>
    </w:p>
    <w:p w:rsidR="00E31EDB" w:rsidP="00D732A2" w:rsidRDefault="00012AB1" w14:paraId="7B905906" w14:textId="36B1A546">
      <w:pPr>
        <w:pStyle w:val="ListParagraph"/>
        <w:numPr>
          <w:ilvl w:val="1"/>
          <w:numId w:val="7"/>
        </w:numPr>
        <w:spacing w:line="278" w:lineRule="auto"/>
        <w:ind w:left="431" w:hanging="431"/>
        <w:jc w:val="both"/>
      </w:pPr>
      <w:r w:rsidRPr="00711C2B">
        <w:t>The</w:t>
      </w:r>
      <w:r w:rsidRPr="00A7061E" w:rsidR="00A7061E">
        <w:t xml:space="preserve"> </w:t>
      </w:r>
      <w:r w:rsidRPr="00E31EDB" w:rsidR="00A7061E">
        <w:rPr>
          <w:b/>
          <w:bCs/>
        </w:rPr>
        <w:t>Supply Side Opportunities</w:t>
      </w:r>
      <w:r w:rsidRPr="003F764D" w:rsidR="00B725A9">
        <w:t xml:space="preserve"> </w:t>
      </w:r>
      <w:r w:rsidRPr="003F764D">
        <w:t xml:space="preserve">tab </w:t>
      </w:r>
      <w:r w:rsidRPr="00711C2B">
        <w:t>is intended to cover</w:t>
      </w:r>
      <w:r w:rsidR="00A7061E">
        <w:t>:</w:t>
      </w:r>
    </w:p>
    <w:p w:rsidR="00012AB1" w:rsidP="00D732A2" w:rsidRDefault="006F317F" w14:paraId="1462C543" w14:textId="6DCECC19">
      <w:pPr>
        <w:pStyle w:val="ListParagraph"/>
        <w:numPr>
          <w:ilvl w:val="2"/>
          <w:numId w:val="7"/>
        </w:numPr>
        <w:spacing w:line="278" w:lineRule="auto"/>
        <w:jc w:val="both"/>
      </w:pPr>
      <w:r w:rsidRPr="59634107">
        <w:t xml:space="preserve">Fuel </w:t>
      </w:r>
      <w:r w:rsidRPr="59634107" w:rsidR="000C0935">
        <w:t xml:space="preserve">consumption </w:t>
      </w:r>
      <w:r w:rsidRPr="59634107">
        <w:t>impacted</w:t>
      </w:r>
      <w:r w:rsidRPr="59634107" w:rsidR="4EAC8ADD">
        <w:t xml:space="preserve"> by switching non-renewable fuels, for instance:</w:t>
      </w:r>
    </w:p>
    <w:p w:rsidR="00FA7C9E" w:rsidP="00D732A2" w:rsidRDefault="00FA7C9E" w14:paraId="3FB4EEEA" w14:textId="3C223BED">
      <w:pPr>
        <w:pStyle w:val="ListParagraph"/>
        <w:numPr>
          <w:ilvl w:val="3"/>
          <w:numId w:val="7"/>
        </w:numPr>
        <w:spacing w:line="278" w:lineRule="auto"/>
        <w:jc w:val="both"/>
      </w:pPr>
      <w:r w:rsidRPr="59634107">
        <w:t>Switching from a gas oven to an electric oven (which may be largely product related consumption</w:t>
      </w:r>
      <w:r w:rsidRPr="59634107" w:rsidR="00423D20">
        <w:t>).</w:t>
      </w:r>
    </w:p>
    <w:p w:rsidR="00FA7C9E" w:rsidP="00D732A2" w:rsidRDefault="00FA7C9E" w14:paraId="1461B5A1" w14:textId="74FAA1EB">
      <w:pPr>
        <w:pStyle w:val="ListParagraph"/>
        <w:numPr>
          <w:ilvl w:val="3"/>
          <w:numId w:val="7"/>
        </w:numPr>
        <w:spacing w:line="278" w:lineRule="auto"/>
        <w:jc w:val="both"/>
      </w:pPr>
      <w:r w:rsidRPr="59634107">
        <w:t>Switching from fuel oil heating to gas heating for a building (which may be largely fixed energy consumption</w:t>
      </w:r>
      <w:r w:rsidRPr="59634107" w:rsidR="00423D20">
        <w:t>).</w:t>
      </w:r>
    </w:p>
    <w:p w:rsidRPr="004A6E55" w:rsidR="00FA7C9E" w:rsidP="00D732A2" w:rsidRDefault="00FA7C9E" w14:paraId="21D6788B" w14:textId="192ECDCD">
      <w:pPr>
        <w:pStyle w:val="DESNZbulletedlist"/>
        <w:numPr>
          <w:ilvl w:val="3"/>
          <w:numId w:val="7"/>
        </w:numPr>
        <w:jc w:val="both"/>
      </w:pPr>
      <w:r>
        <w:rPr>
          <w:rFonts w:ascii="Aptos" w:hAnsi="Aptos"/>
        </w:rPr>
        <w:t>Switching from gas heating to the use of an electrically driven heat pump for the provision of hot water.</w:t>
      </w:r>
    </w:p>
    <w:p w:rsidRPr="009548C8" w:rsidR="004A6E55" w:rsidP="00D732A2" w:rsidRDefault="004A6E55" w14:paraId="641B455A" w14:textId="77777777">
      <w:pPr>
        <w:pStyle w:val="DESNZbulletedlist"/>
        <w:numPr>
          <w:ilvl w:val="0"/>
          <w:numId w:val="0"/>
        </w:numPr>
        <w:ind w:left="1440"/>
        <w:jc w:val="both"/>
      </w:pPr>
    </w:p>
    <w:p w:rsidRPr="001E5A1B" w:rsidR="00012AB1" w:rsidP="00D732A2" w:rsidRDefault="001D6DE2" w14:paraId="172C33CE" w14:textId="50A71476">
      <w:pPr>
        <w:pStyle w:val="ListParagraph"/>
        <w:numPr>
          <w:ilvl w:val="2"/>
          <w:numId w:val="7"/>
        </w:numPr>
        <w:spacing w:line="278" w:lineRule="auto"/>
        <w:jc w:val="both"/>
      </w:pPr>
      <w:r w:rsidRPr="59634107">
        <w:t>Fuel consumption impacted</w:t>
      </w:r>
      <w:r w:rsidRPr="59634107" w:rsidR="00012AB1">
        <w:t xml:space="preserve"> by switching to renewable fuels for heat, for instance:</w:t>
      </w:r>
    </w:p>
    <w:p w:rsidRPr="001E5A1B" w:rsidR="00012AB1" w:rsidP="00D732A2" w:rsidRDefault="00012AB1" w14:paraId="15CC308B" w14:textId="77777777">
      <w:pPr>
        <w:pStyle w:val="ListParagraph"/>
        <w:numPr>
          <w:ilvl w:val="3"/>
          <w:numId w:val="7"/>
        </w:numPr>
        <w:spacing w:line="278" w:lineRule="auto"/>
        <w:jc w:val="both"/>
      </w:pPr>
      <w:r w:rsidRPr="001E5A1B">
        <w:t>Switching to use of wood chippings for kiln drying</w:t>
      </w:r>
    </w:p>
    <w:p w:rsidR="00012AB1" w:rsidP="00D732A2" w:rsidRDefault="00012AB1" w14:paraId="556EFBA4" w14:textId="77777777">
      <w:pPr>
        <w:pStyle w:val="ListParagraph"/>
        <w:numPr>
          <w:ilvl w:val="3"/>
          <w:numId w:val="7"/>
        </w:numPr>
        <w:spacing w:line="278" w:lineRule="auto"/>
        <w:jc w:val="both"/>
      </w:pPr>
      <w:r w:rsidRPr="001E5A1B">
        <w:t xml:space="preserve">Switching to use of poultry little for space heating </w:t>
      </w:r>
    </w:p>
    <w:p w:rsidRPr="001E5A1B" w:rsidR="00FA7C9E" w:rsidP="00D732A2" w:rsidRDefault="00FA7C9E" w14:paraId="37FAE954" w14:textId="77777777">
      <w:pPr>
        <w:pStyle w:val="ListParagraph"/>
        <w:spacing w:line="278" w:lineRule="auto"/>
        <w:ind w:left="1440"/>
        <w:jc w:val="both"/>
      </w:pPr>
    </w:p>
    <w:p w:rsidRPr="0096538D" w:rsidR="001E5A1B" w:rsidP="00D732A2" w:rsidRDefault="001D6DE2" w14:paraId="19C78DA9" w14:textId="0814E70A">
      <w:pPr>
        <w:pStyle w:val="ListParagraph"/>
        <w:numPr>
          <w:ilvl w:val="2"/>
          <w:numId w:val="7"/>
        </w:numPr>
        <w:spacing w:line="278" w:lineRule="auto"/>
        <w:jc w:val="both"/>
      </w:pPr>
      <w:r w:rsidRPr="59634107">
        <w:t>Fuel consumption impacted</w:t>
      </w:r>
      <w:r w:rsidRPr="59634107" w:rsidR="00001C6C">
        <w:t xml:space="preserve"> by</w:t>
      </w:r>
      <w:r w:rsidRPr="59634107" w:rsidR="001E5A1B">
        <w:t xml:space="preserve"> </w:t>
      </w:r>
      <w:r w:rsidRPr="59634107" w:rsidR="00001C6C">
        <w:t>s</w:t>
      </w:r>
      <w:r w:rsidRPr="59634107" w:rsidR="001E5A1B">
        <w:t>witching to Renewable Power, for instance:</w:t>
      </w:r>
    </w:p>
    <w:p w:rsidRPr="00001C6C" w:rsidR="001E5A1B" w:rsidP="00D732A2" w:rsidRDefault="001E5A1B" w14:paraId="179248CA" w14:textId="62B95AD3">
      <w:pPr>
        <w:pStyle w:val="ListParagraph"/>
        <w:numPr>
          <w:ilvl w:val="3"/>
          <w:numId w:val="7"/>
        </w:numPr>
        <w:spacing w:line="278" w:lineRule="auto"/>
        <w:jc w:val="both"/>
      </w:pPr>
      <w:r w:rsidRPr="00001C6C">
        <w:t>Switching to on-site PV</w:t>
      </w:r>
      <w:r w:rsidR="008A7551">
        <w:t xml:space="preserve"> which is directly supplied for consumption </w:t>
      </w:r>
      <w:r w:rsidR="009906E2">
        <w:t>by the facility</w:t>
      </w:r>
    </w:p>
    <w:p w:rsidR="001E5A1B" w:rsidP="00D732A2" w:rsidRDefault="001E5A1B" w14:paraId="61FF304B" w14:textId="15A79432">
      <w:pPr>
        <w:pStyle w:val="ListParagraph"/>
        <w:numPr>
          <w:ilvl w:val="3"/>
          <w:numId w:val="7"/>
        </w:numPr>
        <w:spacing w:line="278" w:lineRule="auto"/>
        <w:jc w:val="both"/>
      </w:pPr>
      <w:r w:rsidRPr="59634107">
        <w:t xml:space="preserve">Switching to </w:t>
      </w:r>
      <w:r w:rsidRPr="59634107" w:rsidR="009906E2">
        <w:t xml:space="preserve">wind or </w:t>
      </w:r>
      <w:proofErr w:type="gramStart"/>
      <w:r w:rsidRPr="59634107" w:rsidR="009906E2">
        <w:t>hydro-power</w:t>
      </w:r>
      <w:proofErr w:type="gramEnd"/>
      <w:r w:rsidRPr="59634107" w:rsidR="009906E2">
        <w:t xml:space="preserve">, which is directly supplied </w:t>
      </w:r>
      <w:r w:rsidRPr="59634107" w:rsidR="003C07C3">
        <w:t>to the facility for consumption.</w:t>
      </w:r>
    </w:p>
    <w:p w:rsidRPr="00001C6C" w:rsidR="00FA7C9E" w:rsidP="00D732A2" w:rsidRDefault="00FA7C9E" w14:paraId="774728C1" w14:textId="77777777">
      <w:pPr>
        <w:pStyle w:val="ListParagraph"/>
        <w:spacing w:line="278" w:lineRule="auto"/>
        <w:ind w:left="1440"/>
        <w:jc w:val="both"/>
      </w:pPr>
    </w:p>
    <w:p w:rsidRPr="0096538D" w:rsidR="00001C6C" w:rsidP="00D732A2" w:rsidRDefault="00001C6C" w14:paraId="30698ACA" w14:textId="31350789">
      <w:pPr>
        <w:pStyle w:val="ListParagraph"/>
        <w:numPr>
          <w:ilvl w:val="2"/>
          <w:numId w:val="7"/>
        </w:numPr>
        <w:spacing w:line="278" w:lineRule="auto"/>
        <w:jc w:val="both"/>
      </w:pPr>
      <w:r w:rsidRPr="0096538D">
        <w:t xml:space="preserve">The </w:t>
      </w:r>
      <w:r w:rsidRPr="00FA7C9E" w:rsidR="002059F2">
        <w:rPr>
          <w:b/>
          <w:bCs/>
        </w:rPr>
        <w:t>Switching to CHP</w:t>
      </w:r>
      <w:r w:rsidRPr="0096538D" w:rsidR="002059F2">
        <w:t xml:space="preserve"> </w:t>
      </w:r>
      <w:r w:rsidR="004E46A1">
        <w:t xml:space="preserve">(non-renewable CHP only) </w:t>
      </w:r>
      <w:r w:rsidRPr="0096538D" w:rsidR="00415A39">
        <w:t xml:space="preserve">tab is intended to cover: </w:t>
      </w:r>
    </w:p>
    <w:p w:rsidR="00E9141B" w:rsidP="00D732A2" w:rsidRDefault="003427D7" w14:paraId="7E703A3F" w14:textId="01B4BEBA">
      <w:pPr>
        <w:pStyle w:val="ListParagraph"/>
        <w:numPr>
          <w:ilvl w:val="3"/>
          <w:numId w:val="7"/>
        </w:numPr>
        <w:spacing w:line="278" w:lineRule="auto"/>
        <w:jc w:val="both"/>
      </w:pPr>
      <w:r w:rsidRPr="59634107">
        <w:t xml:space="preserve">Savings made by switching to CHP or increasing the use of CHP. The CHP accounting rules will need to be used to determine the amount of primary fuel used by the CHP </w:t>
      </w:r>
      <w:r w:rsidRPr="59634107" w:rsidR="00C01506">
        <w:t xml:space="preserve">to generate the heat and the power </w:t>
      </w:r>
      <w:r w:rsidRPr="59634107" w:rsidR="00CA69D0">
        <w:t xml:space="preserve">which is consumed by the </w:t>
      </w:r>
      <w:r w:rsidRPr="59634107" w:rsidR="00423D20">
        <w:t>facility,</w:t>
      </w:r>
      <w:r w:rsidRPr="59634107" w:rsidR="00CA69D0">
        <w:t xml:space="preserve"> and which </w:t>
      </w:r>
      <w:r w:rsidRPr="59634107" w:rsidR="008579CE">
        <w:t>displaces heat and power s</w:t>
      </w:r>
      <w:r w:rsidRPr="59634107" w:rsidR="00022671">
        <w:t>ourced from</w:t>
      </w:r>
      <w:r w:rsidRPr="59634107" w:rsidR="00BB2C47">
        <w:t>, for example, the grid or heat only boilers.</w:t>
      </w:r>
      <w:r w:rsidRPr="59634107" w:rsidR="000F05A2">
        <w:t xml:space="preserve"> Accounting for the displacement of electricity and fuel for heat using CHP is </w:t>
      </w:r>
      <w:r w:rsidRPr="59634107" w:rsidR="00805AFD">
        <w:t>achieved in a single row in this worksheet.</w:t>
      </w:r>
      <w:r w:rsidRPr="59634107">
        <w:t xml:space="preserve"> </w:t>
      </w:r>
    </w:p>
    <w:p w:rsidR="00FA7C9E" w:rsidP="00D732A2" w:rsidRDefault="00FA7C9E" w14:paraId="643326AC" w14:textId="77777777">
      <w:pPr>
        <w:pStyle w:val="ListParagraph"/>
        <w:spacing w:line="278" w:lineRule="auto"/>
        <w:ind w:left="1080"/>
        <w:jc w:val="both"/>
      </w:pPr>
    </w:p>
    <w:p w:rsidR="00502E3C" w:rsidP="00D732A2" w:rsidRDefault="00502E3C" w14:paraId="4DF9E7C5" w14:textId="59F93E9E">
      <w:pPr>
        <w:pStyle w:val="ListParagraph"/>
        <w:numPr>
          <w:ilvl w:val="2"/>
          <w:numId w:val="7"/>
        </w:numPr>
        <w:spacing w:line="278" w:lineRule="auto"/>
        <w:jc w:val="both"/>
      </w:pPr>
      <w:r w:rsidRPr="7D187541">
        <w:t xml:space="preserve">Fossil CHP options should only be considered energy efficiency options if the site is not currently covered by the ETS and if deploying CHP does not cause the site to become covered by the ETS (i.e., the 20 </w:t>
      </w:r>
      <w:proofErr w:type="spellStart"/>
      <w:r w:rsidRPr="7D187541">
        <w:t>MWth</w:t>
      </w:r>
      <w:proofErr w:type="spellEnd"/>
      <w:r w:rsidRPr="7D187541">
        <w:t xml:space="preserve"> threshold is not breached).</w:t>
      </w:r>
    </w:p>
    <w:p w:rsidR="00FA7C9E" w:rsidP="00D732A2" w:rsidRDefault="00FA7C9E" w14:paraId="43FF9E1B" w14:textId="77777777">
      <w:pPr>
        <w:pStyle w:val="ListParagraph"/>
        <w:spacing w:line="278" w:lineRule="auto"/>
        <w:ind w:left="1080"/>
        <w:jc w:val="both"/>
      </w:pPr>
    </w:p>
    <w:p w:rsidR="07CCB3DF" w:rsidP="00D732A2" w:rsidRDefault="58997493" w14:paraId="092616E7" w14:textId="58285FB6">
      <w:pPr>
        <w:pStyle w:val="ListParagraph"/>
        <w:numPr>
          <w:ilvl w:val="2"/>
          <w:numId w:val="7"/>
        </w:numPr>
        <w:spacing w:line="278" w:lineRule="auto"/>
        <w:jc w:val="both"/>
      </w:pPr>
      <w:r w:rsidRPr="5CD4F1B5">
        <w:t xml:space="preserve">Note there are more columns to fill in for CHP measures due to </w:t>
      </w:r>
      <w:r w:rsidRPr="5CD4F1B5" w:rsidR="79C1BB5F">
        <w:t>their</w:t>
      </w:r>
      <w:r w:rsidRPr="5CD4F1B5">
        <w:t xml:space="preserve"> complexity</w:t>
      </w:r>
      <w:r w:rsidRPr="5CD4F1B5" w:rsidR="40E82C32">
        <w:t xml:space="preserve">. If completing measures in </w:t>
      </w:r>
      <w:r w:rsidRPr="28924DEE" w:rsidR="40E82C32">
        <w:t>this</w:t>
      </w:r>
      <w:r w:rsidRPr="5CD4F1B5" w:rsidR="40E82C32">
        <w:t xml:space="preserve"> tab pls complete all </w:t>
      </w:r>
      <w:r w:rsidRPr="3DDBD68A" w:rsidR="40E82C32">
        <w:t>green columns for each row.</w:t>
      </w:r>
    </w:p>
    <w:p w:rsidR="00FA7C9E" w:rsidP="00D732A2" w:rsidRDefault="00FA7C9E" w14:paraId="32CAA649" w14:textId="77777777">
      <w:pPr>
        <w:pStyle w:val="ListParagraph"/>
        <w:spacing w:line="278" w:lineRule="auto"/>
        <w:ind w:left="1080"/>
        <w:jc w:val="both"/>
      </w:pPr>
    </w:p>
    <w:p w:rsidR="00502E3C" w:rsidP="00D732A2" w:rsidRDefault="592CA80A" w14:paraId="073D550D" w14:textId="00B5F8F7">
      <w:pPr>
        <w:pStyle w:val="ListParagraph"/>
        <w:numPr>
          <w:ilvl w:val="2"/>
          <w:numId w:val="7"/>
        </w:numPr>
        <w:spacing w:line="278" w:lineRule="auto"/>
        <w:jc w:val="both"/>
      </w:pPr>
      <w:r w:rsidRPr="1A83ADD1">
        <w:t>Installation of renewable CHP needs to be accounted for differently from fossil fuelled CHP. This is because electricity generated via the combustion of a renewable fuel must be accounted for in the same way as grid electricity. This means that this generated electricity carries a 2.1 primary to delivered factor. The primary energy assigned to the electricity and heat outputs from CHP should equal the total fuel input to the CHP. If you plan to implement a CHP project using a renewable fuel, please contact us</w:t>
      </w:r>
      <w:r w:rsidR="00FF1390">
        <w:t xml:space="preserve"> </w:t>
      </w:r>
      <w:r w:rsidRPr="00A9508D" w:rsidR="00FF1390">
        <w:t>(cca@energysecurity.gov.uk)</w:t>
      </w:r>
      <w:r w:rsidRPr="1A83ADD1">
        <w:t>.</w:t>
      </w:r>
    </w:p>
    <w:p w:rsidR="00FA7C9E" w:rsidP="00D732A2" w:rsidRDefault="00FA7C9E" w14:paraId="2CC20F69" w14:textId="77777777">
      <w:pPr>
        <w:pStyle w:val="ListParagraph"/>
        <w:spacing w:line="278" w:lineRule="auto"/>
        <w:ind w:left="1080"/>
        <w:jc w:val="both"/>
      </w:pPr>
    </w:p>
    <w:p w:rsidR="00A367D7" w:rsidP="00D732A2" w:rsidRDefault="00A00C62" w14:paraId="15DFC6F2" w14:textId="126CAD17">
      <w:pPr>
        <w:pStyle w:val="ListParagraph"/>
        <w:numPr>
          <w:ilvl w:val="2"/>
          <w:numId w:val="7"/>
        </w:numPr>
        <w:spacing w:line="278" w:lineRule="auto"/>
        <w:jc w:val="both"/>
      </w:pPr>
      <w:r w:rsidRPr="7D187541">
        <w:t xml:space="preserve">Similarly, CHP measures in the SAT assume that CHP </w:t>
      </w:r>
      <w:r w:rsidRPr="7D187541" w:rsidR="00FE3CC0">
        <w:t>operates in heat led mode</w:t>
      </w:r>
      <w:r w:rsidRPr="7D187541">
        <w:t xml:space="preserve"> </w:t>
      </w:r>
      <w:r w:rsidRPr="7D187541" w:rsidR="00912301">
        <w:t xml:space="preserve">and that all heat generated will be consumed </w:t>
      </w:r>
      <w:r w:rsidRPr="7D187541" w:rsidR="00AE029D">
        <w:t>in the eligible facility.</w:t>
      </w:r>
      <w:r w:rsidRPr="7D187541">
        <w:t xml:space="preserve"> </w:t>
      </w:r>
      <w:r w:rsidRPr="7D187541" w:rsidR="009838BE">
        <w:t xml:space="preserve">If you plan to export heat, </w:t>
      </w:r>
      <w:r w:rsidRPr="7D187541" w:rsidR="00BC0B11">
        <w:t>then please contact us to discuss how this should be accommodated in the SAT.</w:t>
      </w:r>
    </w:p>
    <w:p w:rsidR="00FA7C9E" w:rsidP="00D732A2" w:rsidRDefault="00FA7C9E" w14:paraId="3CE87986" w14:textId="77777777">
      <w:pPr>
        <w:pStyle w:val="ListParagraph"/>
        <w:jc w:val="both"/>
      </w:pPr>
    </w:p>
    <w:p w:rsidRPr="00711C2B" w:rsidR="00FA7C9E" w:rsidP="00D732A2" w:rsidRDefault="00012AB1" w14:paraId="67EF6349" w14:textId="046BE8F6">
      <w:pPr>
        <w:pStyle w:val="ListParagraph"/>
        <w:numPr>
          <w:ilvl w:val="2"/>
          <w:numId w:val="7"/>
        </w:numPr>
        <w:spacing w:line="278" w:lineRule="auto"/>
        <w:jc w:val="both"/>
      </w:pPr>
      <w:r w:rsidRPr="7D187541">
        <w:t>The below table details the data inputs required within each of these tabs</w:t>
      </w:r>
      <w:r w:rsidRPr="7D187541" w:rsidR="00FA7C9E">
        <w:t>:</w:t>
      </w:r>
    </w:p>
    <w:tbl>
      <w:tblPr>
        <w:tblStyle w:val="TableGrid"/>
        <w:tblW w:w="0" w:type="auto"/>
        <w:tblLook w:val="04A0" w:firstRow="1" w:lastRow="0" w:firstColumn="1" w:lastColumn="0" w:noHBand="0" w:noVBand="1"/>
      </w:tblPr>
      <w:tblGrid>
        <w:gridCol w:w="2671"/>
        <w:gridCol w:w="7389"/>
      </w:tblGrid>
      <w:tr w:rsidRPr="00202DE3" w:rsidR="00307B65" w:rsidTr="7D187541" w14:paraId="667ACE28" w14:textId="77777777">
        <w:tc>
          <w:tcPr>
            <w:tcW w:w="2671" w:type="dxa"/>
            <w:shd w:val="clear" w:color="auto" w:fill="66CCFF"/>
          </w:tcPr>
          <w:p w:rsidRPr="00711C2B" w:rsidR="00307B65" w:rsidP="00D732A2" w:rsidRDefault="00307B65" w14:paraId="56107510" w14:textId="77777777">
            <w:pPr>
              <w:jc w:val="both"/>
              <w:rPr>
                <w:rStyle w:val="Boldtext"/>
              </w:rPr>
            </w:pPr>
            <w:r w:rsidRPr="00711C2B">
              <w:rPr>
                <w:rStyle w:val="Boldtext"/>
              </w:rPr>
              <w:t>Workbook Tab</w:t>
            </w:r>
          </w:p>
        </w:tc>
        <w:tc>
          <w:tcPr>
            <w:tcW w:w="7389" w:type="dxa"/>
            <w:shd w:val="clear" w:color="auto" w:fill="E2EFD9" w:themeFill="accent6" w:themeFillTint="33"/>
          </w:tcPr>
          <w:p w:rsidRPr="00711C2B" w:rsidR="00307B65" w:rsidP="00D732A2" w:rsidRDefault="00307B65" w14:paraId="5067CC31" w14:textId="77777777">
            <w:pPr>
              <w:jc w:val="both"/>
              <w:rPr>
                <w:rStyle w:val="Boldtext"/>
              </w:rPr>
            </w:pPr>
            <w:r w:rsidRPr="00711C2B">
              <w:rPr>
                <w:rStyle w:val="Boldtext"/>
              </w:rPr>
              <w:t>Data Input</w:t>
            </w:r>
          </w:p>
        </w:tc>
      </w:tr>
      <w:tr w:rsidRPr="00202DE3" w:rsidR="00307B65" w:rsidTr="7D187541" w14:paraId="4C8BCB50" w14:textId="77777777">
        <w:tc>
          <w:tcPr>
            <w:tcW w:w="2671" w:type="dxa"/>
            <w:shd w:val="clear" w:color="auto" w:fill="66CCFF"/>
          </w:tcPr>
          <w:p w:rsidR="00307B65" w:rsidP="00D732A2" w:rsidRDefault="00307B65" w14:paraId="10AD56DE" w14:textId="1BBDD86A">
            <w:pPr>
              <w:jc w:val="both"/>
            </w:pPr>
            <w:r>
              <w:t>Supply Side Measures</w:t>
            </w:r>
          </w:p>
          <w:p w:rsidRPr="00711C2B" w:rsidR="00307B65" w:rsidP="00D732A2" w:rsidRDefault="00307B65" w14:paraId="6818EFD8" w14:textId="77777777">
            <w:pPr>
              <w:jc w:val="both"/>
            </w:pPr>
          </w:p>
          <w:p w:rsidRPr="00711C2B" w:rsidR="00307B65" w:rsidP="00D732A2" w:rsidRDefault="00307B65" w14:paraId="07BB2058" w14:textId="08F0773A">
            <w:pPr>
              <w:jc w:val="both"/>
            </w:pPr>
          </w:p>
        </w:tc>
        <w:tc>
          <w:tcPr>
            <w:tcW w:w="7389" w:type="dxa"/>
            <w:shd w:val="clear" w:color="auto" w:fill="E2EFD9" w:themeFill="accent6" w:themeFillTint="33"/>
          </w:tcPr>
          <w:p w:rsidRPr="004351A3" w:rsidR="00562C76" w:rsidP="004351A3" w:rsidRDefault="00562C76" w14:paraId="3BB34E67" w14:textId="7CBA19E0">
            <w:r w:rsidRPr="7D187541">
              <w:rPr>
                <w:b/>
                <w:bCs/>
              </w:rPr>
              <w:t xml:space="preserve">Type of </w:t>
            </w:r>
            <w:r w:rsidRPr="7D187541" w:rsidR="00937D69">
              <w:rPr>
                <w:b/>
                <w:bCs/>
              </w:rPr>
              <w:t>supply</w:t>
            </w:r>
            <w:r w:rsidRPr="7D187541">
              <w:rPr>
                <w:b/>
                <w:bCs/>
              </w:rPr>
              <w:t xml:space="preserve">-side measure: </w:t>
            </w:r>
            <w:r w:rsidRPr="7D187541">
              <w:t>Classification of measures selected from a dropdown list.</w:t>
            </w:r>
            <w:r>
              <w:br/>
            </w:r>
            <w:r w:rsidRPr="7D187541" w:rsidR="00356AB6">
              <w:rPr>
                <w:b/>
                <w:bCs/>
              </w:rPr>
              <w:t>Description of s</w:t>
            </w:r>
            <w:r w:rsidRPr="7D187541" w:rsidR="00937D69">
              <w:rPr>
                <w:b/>
                <w:bCs/>
              </w:rPr>
              <w:t>upply</w:t>
            </w:r>
            <w:r w:rsidRPr="7D187541">
              <w:rPr>
                <w:b/>
                <w:bCs/>
              </w:rPr>
              <w:t xml:space="preserve">-side measure: </w:t>
            </w:r>
            <w:r w:rsidRPr="7D187541">
              <w:t>Short description of the measure.</w:t>
            </w:r>
          </w:p>
          <w:p w:rsidRPr="00711C2B" w:rsidR="00307B65" w:rsidP="00D732A2" w:rsidRDefault="00307B65" w14:paraId="30D48A44" w14:textId="2D9EAF2E">
            <w:pPr>
              <w:jc w:val="both"/>
            </w:pPr>
            <w:r w:rsidRPr="00711C2B">
              <w:rPr>
                <w:rStyle w:val="Boldtext"/>
              </w:rPr>
              <w:t>Fuel Type Currently Used:</w:t>
            </w:r>
            <w:r w:rsidRPr="00711C2B">
              <w:t xml:space="preserve"> Selected from a dropdown list which will include other fuels if any are used.</w:t>
            </w:r>
          </w:p>
          <w:p w:rsidRPr="00711C2B" w:rsidR="00307B65" w:rsidP="00D732A2" w:rsidRDefault="00307B65" w14:paraId="2C1B5F48" w14:textId="16A4F41B">
            <w:pPr>
              <w:jc w:val="both"/>
            </w:pPr>
            <w:r w:rsidRPr="7D187541">
              <w:rPr>
                <w:rStyle w:val="Boldtext"/>
              </w:rPr>
              <w:t>Quantity of Delivered Energy Currently Used:</w:t>
            </w:r>
            <w:r w:rsidRPr="7D187541">
              <w:t xml:space="preserve"> Energy consumption that is going to be replaced by using an alternative fuel and equipment/appliance.  </w:t>
            </w:r>
          </w:p>
          <w:p w:rsidRPr="00711C2B" w:rsidR="00307B65" w:rsidP="00D732A2" w:rsidRDefault="00307B65" w14:paraId="31230B59" w14:textId="31B36E1B">
            <w:pPr>
              <w:jc w:val="both"/>
            </w:pPr>
            <w:r w:rsidRPr="241F41CD">
              <w:rPr>
                <w:rStyle w:val="Boldtext"/>
              </w:rPr>
              <w:t>Existing Equipment/Appliance Efficiency (%):</w:t>
            </w:r>
            <w:r>
              <w:t xml:space="preserve"> Efficiency of equipment/appliance currently providing heat</w:t>
            </w:r>
            <w:r w:rsidR="002514A8">
              <w:t xml:space="preserve"> or generating electricity.</w:t>
            </w:r>
            <w:r w:rsidR="009345B3">
              <w:t xml:space="preserve"> </w:t>
            </w:r>
            <w:r w:rsidRPr="009345B3" w:rsidR="009345B3">
              <w:t>If this information is not available, kindly provide the best estimate.</w:t>
            </w:r>
          </w:p>
          <w:p w:rsidRPr="00711C2B" w:rsidR="00307B65" w:rsidP="00D732A2" w:rsidRDefault="00307B65" w14:paraId="28772608" w14:textId="77777777">
            <w:pPr>
              <w:jc w:val="both"/>
            </w:pPr>
            <w:r w:rsidRPr="00711C2B">
              <w:rPr>
                <w:rStyle w:val="Boldtext"/>
              </w:rPr>
              <w:t>Replacement Fuel Type:</w:t>
            </w:r>
            <w:r w:rsidRPr="00711C2B">
              <w:t xml:space="preserve"> Selected from a dropdown list which will include other fuels if any are used.</w:t>
            </w:r>
          </w:p>
          <w:p w:rsidRPr="00711C2B" w:rsidR="00307B65" w:rsidP="00D732A2" w:rsidRDefault="00307B65" w14:paraId="7DFACC6E" w14:textId="47C053AC">
            <w:pPr>
              <w:jc w:val="both"/>
            </w:pPr>
            <w:r w:rsidRPr="00711C2B">
              <w:rPr>
                <w:rStyle w:val="Boldtext"/>
              </w:rPr>
              <w:t>Replacement Equipment/Appliance Efficiency (%):</w:t>
            </w:r>
            <w:r w:rsidRPr="00711C2B">
              <w:t xml:space="preserve"> Efficiency of equipment/appliance to be providing heat</w:t>
            </w:r>
            <w:r w:rsidR="00EE0321">
              <w:t xml:space="preserve"> or generating electricity.</w:t>
            </w:r>
          </w:p>
          <w:p w:rsidRPr="00711C2B" w:rsidR="00E12558" w:rsidP="00D732A2" w:rsidRDefault="00E12558" w14:paraId="32751582" w14:textId="03AF5F6A">
            <w:pPr>
              <w:jc w:val="both"/>
            </w:pPr>
            <w:r w:rsidRPr="7D187541">
              <w:rPr>
                <w:b/>
                <w:bCs/>
              </w:rPr>
              <w:t xml:space="preserve">Is Measure Already </w:t>
            </w:r>
            <w:proofErr w:type="gramStart"/>
            <w:r w:rsidRPr="7D187541">
              <w:rPr>
                <w:b/>
                <w:bCs/>
              </w:rPr>
              <w:t>Implemented?:</w:t>
            </w:r>
            <w:proofErr w:type="gramEnd"/>
            <w:r w:rsidRPr="7D187541">
              <w:t xml:space="preserve"> Indicates whether the measure has already been implemented when completing the SAT.</w:t>
            </w:r>
          </w:p>
          <w:p w:rsidRPr="00995849" w:rsidR="00307B65" w:rsidP="00D732A2" w:rsidRDefault="00307B65" w14:paraId="30CDCD79" w14:textId="6ACEAD65">
            <w:pPr>
              <w:jc w:val="both"/>
            </w:pPr>
            <w:r w:rsidRPr="7D187541">
              <w:rPr>
                <w:rStyle w:val="Boldtext"/>
              </w:rPr>
              <w:t>Anticipated Implementation Year with CCA:</w:t>
            </w:r>
            <w:r w:rsidRPr="7D187541">
              <w:t xml:space="preserve"> Year in which measure is likely to be implemented. If measure is composed of several smaller changes, or gradual progress changes, then an average year might be appropriate. </w:t>
            </w:r>
          </w:p>
          <w:p w:rsidR="00307B65" w:rsidP="00D732A2" w:rsidRDefault="00307B65" w14:paraId="625063A3" w14:textId="2B49FE80">
            <w:pPr>
              <w:jc w:val="both"/>
            </w:pPr>
            <w:r w:rsidRPr="75883885">
              <w:rPr>
                <w:b/>
                <w:bCs/>
              </w:rPr>
              <w:t>Anticipated Implementation Year without CCA:</w:t>
            </w:r>
            <w:r>
              <w:t xml:space="preserve"> Estimated year in which measure is likely to be implemented IF FACILITY WAS NOT IN NEW CCA SCHEME</w:t>
            </w:r>
            <w:r w:rsidR="00E92386">
              <w:t>,</w:t>
            </w:r>
            <w:r w:rsidR="79F10B23">
              <w:t xml:space="preserve"> i.e. </w:t>
            </w:r>
            <w:r w:rsidR="002753C7">
              <w:t xml:space="preserve">if </w:t>
            </w:r>
            <w:r w:rsidR="00E74259">
              <w:t xml:space="preserve">the </w:t>
            </w:r>
            <w:r w:rsidR="79F10B23">
              <w:t>facility had to pay full rates of CCL</w:t>
            </w:r>
            <w:r>
              <w:t>.</w:t>
            </w:r>
          </w:p>
          <w:p w:rsidRPr="00D47C32" w:rsidR="00307B65" w:rsidP="00D732A2" w:rsidRDefault="007C3D2A" w14:paraId="630F20E6" w14:textId="5A4E6E5F">
            <w:pPr>
              <w:jc w:val="both"/>
              <w:rPr>
                <w:b/>
              </w:rPr>
            </w:pPr>
            <w:r>
              <w:rPr>
                <w:b/>
              </w:rPr>
              <w:t xml:space="preserve">Payback time: </w:t>
            </w:r>
            <w:r w:rsidRPr="00017513">
              <w:t>Expected payback period.</w:t>
            </w:r>
          </w:p>
        </w:tc>
      </w:tr>
    </w:tbl>
    <w:p w:rsidRPr="00711C2B" w:rsidR="00012AB1" w:rsidP="00D732A2" w:rsidRDefault="00012AB1" w14:paraId="699FCDCD" w14:textId="048B5BC2">
      <w:pPr>
        <w:jc w:val="both"/>
      </w:pPr>
    </w:p>
    <w:p w:rsidRPr="00711C2B" w:rsidR="00DD1CE0" w:rsidP="00D732A2" w:rsidRDefault="00DD1CE0" w14:paraId="326A4CB8" w14:textId="50B52FEB">
      <w:pPr>
        <w:pStyle w:val="ListParagraph"/>
        <w:numPr>
          <w:ilvl w:val="1"/>
          <w:numId w:val="7"/>
        </w:numPr>
        <w:spacing w:line="278" w:lineRule="auto"/>
        <w:jc w:val="both"/>
      </w:pPr>
      <w:r>
        <w:t xml:space="preserve">Note: </w:t>
      </w:r>
      <w:r w:rsidR="00D4097B">
        <w:t xml:space="preserve">Where the fuel currently use is </w:t>
      </w:r>
      <w:r w:rsidR="00C01E83">
        <w:t>a form of</w:t>
      </w:r>
      <w:r w:rsidR="00D4097B">
        <w:t xml:space="preserve"> </w:t>
      </w:r>
      <w:r w:rsidR="00532550">
        <w:t>electricity</w:t>
      </w:r>
      <w:r w:rsidR="006C0777">
        <w:t xml:space="preserve"> the efficiency</w:t>
      </w:r>
      <w:r w:rsidR="004C6D13">
        <w:t xml:space="preserve"> of the </w:t>
      </w:r>
      <w:r w:rsidR="003F7EE9">
        <w:t>‘E</w:t>
      </w:r>
      <w:r w:rsidR="004C6D13">
        <w:t>xisting Equipment</w:t>
      </w:r>
      <w:r w:rsidR="003F7EE9">
        <w:t>’</w:t>
      </w:r>
      <w:r w:rsidR="004C6D13">
        <w:t xml:space="preserve"> should be assumed to be 100%</w:t>
      </w:r>
      <w:r w:rsidR="003F7EE9">
        <w:t xml:space="preserve">. Likewise, if the </w:t>
      </w:r>
      <w:r w:rsidR="00E53C71">
        <w:t xml:space="preserve">replacement fuel is a form of electricity, then </w:t>
      </w:r>
      <w:r w:rsidR="00A74DCF">
        <w:t>‘Replacement Equipment’ efficiency should also be assumed to be 100%.</w:t>
      </w:r>
    </w:p>
    <w:tbl>
      <w:tblPr>
        <w:tblStyle w:val="TableGrid"/>
        <w:tblW w:w="0" w:type="auto"/>
        <w:tblLook w:val="04A0" w:firstRow="1" w:lastRow="0" w:firstColumn="1" w:lastColumn="0" w:noHBand="0" w:noVBand="1"/>
      </w:tblPr>
      <w:tblGrid>
        <w:gridCol w:w="2689"/>
        <w:gridCol w:w="7371"/>
      </w:tblGrid>
      <w:tr w:rsidRPr="00202DE3" w:rsidR="007C3D2A" w:rsidTr="7D187541" w14:paraId="0239ADB2" w14:textId="77777777">
        <w:tc>
          <w:tcPr>
            <w:tcW w:w="2689" w:type="dxa"/>
            <w:shd w:val="clear" w:color="auto" w:fill="66CCFF"/>
          </w:tcPr>
          <w:p w:rsidRPr="00711C2B" w:rsidR="007C3D2A" w:rsidP="00D732A2" w:rsidRDefault="007C3D2A" w14:paraId="32A70ED6" w14:textId="77777777">
            <w:pPr>
              <w:jc w:val="both"/>
              <w:rPr>
                <w:rStyle w:val="Boldtext"/>
              </w:rPr>
            </w:pPr>
            <w:r w:rsidRPr="00711C2B">
              <w:rPr>
                <w:rStyle w:val="Boldtext"/>
              </w:rPr>
              <w:t>Workbook Tab</w:t>
            </w:r>
          </w:p>
        </w:tc>
        <w:tc>
          <w:tcPr>
            <w:tcW w:w="7371" w:type="dxa"/>
            <w:shd w:val="clear" w:color="auto" w:fill="E2EFD9" w:themeFill="accent6" w:themeFillTint="33"/>
          </w:tcPr>
          <w:p w:rsidRPr="00711C2B" w:rsidR="007C3D2A" w:rsidP="00D732A2" w:rsidRDefault="007C3D2A" w14:paraId="4DF0E7A8" w14:textId="77777777">
            <w:pPr>
              <w:jc w:val="both"/>
              <w:rPr>
                <w:rStyle w:val="Boldtext"/>
              </w:rPr>
            </w:pPr>
            <w:r w:rsidRPr="00711C2B">
              <w:rPr>
                <w:rStyle w:val="Boldtext"/>
              </w:rPr>
              <w:t>Data Input</w:t>
            </w:r>
          </w:p>
        </w:tc>
      </w:tr>
      <w:tr w:rsidRPr="00202DE3" w:rsidR="007C3D2A" w:rsidTr="7D187541" w14:paraId="7653417C" w14:textId="77777777">
        <w:tc>
          <w:tcPr>
            <w:tcW w:w="2689" w:type="dxa"/>
            <w:shd w:val="clear" w:color="auto" w:fill="66CCFF"/>
          </w:tcPr>
          <w:p w:rsidRPr="00711C2B" w:rsidR="007C3D2A" w:rsidP="00D732A2" w:rsidRDefault="006331B9" w14:paraId="79C9455A" w14:textId="2B908E8C">
            <w:pPr>
              <w:jc w:val="both"/>
            </w:pPr>
            <w:r>
              <w:t>Switching to CHP</w:t>
            </w:r>
          </w:p>
          <w:p w:rsidRPr="00711C2B" w:rsidR="007C3D2A" w:rsidP="00D732A2" w:rsidRDefault="007C3D2A" w14:paraId="397676AC" w14:textId="77777777">
            <w:pPr>
              <w:jc w:val="both"/>
            </w:pPr>
          </w:p>
        </w:tc>
        <w:tc>
          <w:tcPr>
            <w:tcW w:w="7371" w:type="dxa"/>
            <w:shd w:val="clear" w:color="auto" w:fill="E2EFD9" w:themeFill="accent6" w:themeFillTint="33"/>
          </w:tcPr>
          <w:p w:rsidR="002545BE" w:rsidP="7D187541" w:rsidRDefault="002545BE" w14:paraId="7B1297FC" w14:textId="21B710EC">
            <w:pPr>
              <w:jc w:val="both"/>
              <w:rPr>
                <w:rStyle w:val="Boldtext"/>
              </w:rPr>
            </w:pPr>
            <w:r w:rsidRPr="7D187541">
              <w:rPr>
                <w:b/>
                <w:bCs/>
              </w:rPr>
              <w:t xml:space="preserve">Description of CHP measure: </w:t>
            </w:r>
            <w:r w:rsidRPr="7D187541">
              <w:t>Short description of the measure.</w:t>
            </w:r>
          </w:p>
          <w:p w:rsidRPr="003F435B" w:rsidR="007C3D2A" w:rsidP="00D732A2" w:rsidRDefault="00E86E75" w14:paraId="10B38153" w14:textId="63B96766">
            <w:pPr>
              <w:jc w:val="both"/>
            </w:pPr>
            <w:r w:rsidRPr="003F435B">
              <w:rPr>
                <w:rStyle w:val="Boldtext"/>
              </w:rPr>
              <w:t>Existing Fuel Type Consumed to Generated Heat Displaced by CHP</w:t>
            </w:r>
            <w:r w:rsidRPr="003F435B" w:rsidR="007C3D2A">
              <w:rPr>
                <w:rStyle w:val="Boldtext"/>
              </w:rPr>
              <w:t>:</w:t>
            </w:r>
            <w:r w:rsidRPr="003F435B" w:rsidR="007C3D2A">
              <w:t xml:space="preserve"> Selected from a dropdown list which will include other fuels if any are used</w:t>
            </w:r>
            <w:r w:rsidRPr="003F435B">
              <w:t>.</w:t>
            </w:r>
          </w:p>
          <w:p w:rsidRPr="003F435B" w:rsidR="00E942E2" w:rsidP="00D732A2" w:rsidRDefault="00E942E2" w14:paraId="5A8F75F0" w14:textId="07656292">
            <w:pPr>
              <w:jc w:val="both"/>
            </w:pPr>
            <w:r w:rsidRPr="003F435B">
              <w:rPr>
                <w:b/>
              </w:rPr>
              <w:t>Site heat demand:</w:t>
            </w:r>
            <w:r w:rsidRPr="003F435B">
              <w:t xml:space="preserve"> </w:t>
            </w:r>
            <w:r w:rsidRPr="003F435B" w:rsidR="003A4DE2">
              <w:t>Amount of heat currently needed at the site.</w:t>
            </w:r>
          </w:p>
          <w:p w:rsidRPr="003F435B" w:rsidR="00783B70" w:rsidP="00D732A2" w:rsidRDefault="00783B70" w14:paraId="35455EDD" w14:textId="77777777">
            <w:pPr>
              <w:jc w:val="both"/>
            </w:pPr>
            <w:r w:rsidRPr="003F435B">
              <w:rPr>
                <w:b/>
                <w:bCs/>
              </w:rPr>
              <w:t xml:space="preserve">% of Site Heat Demand to be met by CHP: </w:t>
            </w:r>
            <w:r w:rsidRPr="003F435B">
              <w:t>The proportion of the site's current heat demand planned to be met by CHP.</w:t>
            </w:r>
          </w:p>
          <w:p w:rsidRPr="003F435B" w:rsidR="004C5553" w:rsidP="00D732A2" w:rsidRDefault="004C5553" w14:paraId="4907ADAE" w14:textId="73D69268">
            <w:pPr>
              <w:jc w:val="both"/>
            </w:pPr>
            <w:r w:rsidRPr="003F435B">
              <w:rPr>
                <w:b/>
              </w:rPr>
              <w:t>Efficiency of Existing Heat Generation Plant:</w:t>
            </w:r>
            <w:r w:rsidRPr="003F435B">
              <w:t xml:space="preserve"> </w:t>
            </w:r>
            <w:r w:rsidRPr="003F435B" w:rsidR="003966F4">
              <w:t xml:space="preserve">The efficiency of the current equipment/appliance turning the fuel into heat that is consumed within the Facility. It may be obtained from manufacturers data. </w:t>
            </w:r>
          </w:p>
          <w:p w:rsidRPr="003F435B" w:rsidR="007C0337" w:rsidP="00D732A2" w:rsidRDefault="007C0337" w14:paraId="1E2B8348" w14:textId="3B605248">
            <w:pPr>
              <w:jc w:val="both"/>
            </w:pPr>
            <w:r w:rsidRPr="003F435B">
              <w:rPr>
                <w:b/>
              </w:rPr>
              <w:t>Existing Type of Power Displaced by CHP:</w:t>
            </w:r>
            <w:r w:rsidRPr="003F435B">
              <w:t xml:space="preserve"> The type of power currently in use at the site that will be displaced </w:t>
            </w:r>
            <w:r w:rsidRPr="003F435B" w:rsidR="0085191B">
              <w:t>using</w:t>
            </w:r>
            <w:r w:rsidRPr="003F435B">
              <w:t xml:space="preserve"> CHP. </w:t>
            </w:r>
          </w:p>
          <w:p w:rsidRPr="003F435B" w:rsidR="002800E6" w:rsidP="00D732A2" w:rsidRDefault="002800E6" w14:paraId="05BCEA3E" w14:textId="2D474AC0">
            <w:pPr>
              <w:jc w:val="both"/>
            </w:pPr>
            <w:r w:rsidRPr="7D187541">
              <w:rPr>
                <w:b/>
                <w:bCs/>
              </w:rPr>
              <w:t>% Heat Generated by CHP Consumed on Site:</w:t>
            </w:r>
            <w:r w:rsidRPr="7D187541">
              <w:t xml:space="preserve"> </w:t>
            </w:r>
            <w:r w:rsidRPr="7D187541" w:rsidR="000212AE">
              <w:t xml:space="preserve">The </w:t>
            </w:r>
            <w:r w:rsidRPr="7D187541" w:rsidR="00DA13E2">
              <w:t>proportion of h</w:t>
            </w:r>
            <w:r w:rsidRPr="7D187541" w:rsidR="00E75CAE">
              <w:t xml:space="preserve">eat </w:t>
            </w:r>
            <w:r w:rsidRPr="7D187541" w:rsidR="004669FA">
              <w:t xml:space="preserve">generated by the CHP which will be consumed within the </w:t>
            </w:r>
            <w:r w:rsidRPr="7D187541" w:rsidR="00AE7877">
              <w:t>facility</w:t>
            </w:r>
            <w:r w:rsidRPr="7D187541" w:rsidR="001F4A22">
              <w:t xml:space="preserve">. </w:t>
            </w:r>
            <w:r w:rsidRPr="7D187541" w:rsidR="0050379C">
              <w:t>If</w:t>
            </w:r>
            <w:r w:rsidRPr="7D187541" w:rsidR="0069715E">
              <w:t xml:space="preserve"> you anticipate exporting heat for co</w:t>
            </w:r>
            <w:r w:rsidRPr="7D187541" w:rsidR="00F84111">
              <w:t>nsumption outside of the facility, please contact us</w:t>
            </w:r>
            <w:r w:rsidRPr="7D187541" w:rsidR="4F554E13">
              <w:t xml:space="preserve"> (</w:t>
            </w:r>
            <w:hyperlink w:history="1" r:id="rId22">
              <w:r w:rsidRPr="7D187541" w:rsidR="4F554E13">
                <w:rPr>
                  <w:rStyle w:val="Hyperlink"/>
                </w:rPr>
                <w:t>cca@energysecurity.gov.uk</w:t>
              </w:r>
            </w:hyperlink>
            <w:r w:rsidRPr="7D187541" w:rsidR="4F554E13">
              <w:t>)</w:t>
            </w:r>
            <w:r w:rsidRPr="7D187541" w:rsidR="00F84111">
              <w:t>.</w:t>
            </w:r>
            <w:r w:rsidRPr="7D187541" w:rsidR="001F4A22">
              <w:t xml:space="preserve"> </w:t>
            </w:r>
            <w:r w:rsidRPr="7D187541" w:rsidR="000212AE">
              <w:t xml:space="preserve"> </w:t>
            </w:r>
          </w:p>
          <w:p w:rsidRPr="003F435B" w:rsidR="001C0235" w:rsidP="00D732A2" w:rsidRDefault="000212AE" w14:paraId="08BE84D0" w14:textId="501C55ED">
            <w:pPr>
              <w:jc w:val="both"/>
              <w:rPr>
                <w:b/>
              </w:rPr>
            </w:pPr>
            <w:r w:rsidRPr="003F435B">
              <w:rPr>
                <w:b/>
              </w:rPr>
              <w:t>Power Efficiency of CHP</w:t>
            </w:r>
            <w:r w:rsidRPr="003F435B" w:rsidR="0084778F">
              <w:rPr>
                <w:b/>
              </w:rPr>
              <w:t xml:space="preserve">: </w:t>
            </w:r>
            <w:r w:rsidRPr="003F435B" w:rsidR="0084778F">
              <w:rPr>
                <w:bCs/>
              </w:rPr>
              <w:t>The expected power efficiency of the CHP unit. This can be found in the manufacturer's information.</w:t>
            </w:r>
          </w:p>
          <w:p w:rsidRPr="003F435B" w:rsidR="000212AE" w:rsidP="00D732A2" w:rsidRDefault="001C0235" w14:paraId="5254C4D1" w14:textId="36A00CCD">
            <w:pPr>
              <w:jc w:val="both"/>
              <w:rPr>
                <w:b/>
              </w:rPr>
            </w:pPr>
            <w:r w:rsidRPr="003F435B">
              <w:rPr>
                <w:b/>
              </w:rPr>
              <w:t>Heat to Power Ratio of CHP:</w:t>
            </w:r>
            <w:r w:rsidRPr="003F435B" w:rsidR="00F72035">
              <w:rPr>
                <w:b/>
              </w:rPr>
              <w:t xml:space="preserve"> </w:t>
            </w:r>
            <w:r w:rsidRPr="003F435B" w:rsidR="00F72035">
              <w:t>The expected heat to power ratio of the CHP unit. This can be found in the manufacturer's information.</w:t>
            </w:r>
          </w:p>
          <w:p w:rsidRPr="003F435B" w:rsidR="00CB76FD" w:rsidP="00D732A2" w:rsidRDefault="00CB76FD" w14:paraId="212F62EA" w14:textId="644A0415">
            <w:pPr>
              <w:jc w:val="both"/>
            </w:pPr>
            <w:r w:rsidRPr="003F435B">
              <w:rPr>
                <w:b/>
              </w:rPr>
              <w:t>% Power Generated by CHP Consumed on Site:</w:t>
            </w:r>
            <w:r w:rsidRPr="003F435B">
              <w:t xml:space="preserve"> The </w:t>
            </w:r>
            <w:r w:rsidR="004F5687">
              <w:t xml:space="preserve">proportion of </w:t>
            </w:r>
            <w:r w:rsidR="000D07AF">
              <w:t>power generated by the CHP which will be consumed on site.</w:t>
            </w:r>
          </w:p>
          <w:p w:rsidRPr="003F435B" w:rsidR="00F72035" w:rsidP="00D732A2" w:rsidRDefault="00F72035" w14:paraId="40786882" w14:textId="4D97FAAC">
            <w:pPr>
              <w:jc w:val="both"/>
            </w:pPr>
            <w:r w:rsidRPr="003F435B">
              <w:rPr>
                <w:b/>
              </w:rPr>
              <w:t>Type of Fuel to be Consumed by CHP:</w:t>
            </w:r>
            <w:r w:rsidRPr="003F435B">
              <w:t xml:space="preserve"> </w:t>
            </w:r>
            <w:r w:rsidRPr="003F435B" w:rsidR="005A7CB3">
              <w:t>Selected from a dropdown list which will include other fuels if any are used.</w:t>
            </w:r>
          </w:p>
          <w:p w:rsidRPr="003F435B" w:rsidR="00FA53C5" w:rsidP="00D732A2" w:rsidRDefault="00FA53C5" w14:paraId="1BCF7603" w14:textId="7CFD128C">
            <w:pPr>
              <w:jc w:val="both"/>
            </w:pPr>
            <w:r w:rsidRPr="7D187541">
              <w:rPr>
                <w:b/>
                <w:bCs/>
              </w:rPr>
              <w:t xml:space="preserve">Is Measure Already </w:t>
            </w:r>
            <w:proofErr w:type="gramStart"/>
            <w:r w:rsidRPr="7D187541">
              <w:rPr>
                <w:b/>
                <w:bCs/>
              </w:rPr>
              <w:t>Implemented?:</w:t>
            </w:r>
            <w:proofErr w:type="gramEnd"/>
            <w:r w:rsidRPr="7D187541">
              <w:t xml:space="preserve"> Indicates whether the measure has already been implemented when completing the SAT.</w:t>
            </w:r>
          </w:p>
          <w:p w:rsidRPr="003F435B" w:rsidR="007C3D2A" w:rsidP="00D732A2" w:rsidRDefault="007C3D2A" w14:paraId="57C00D29" w14:textId="77777777">
            <w:pPr>
              <w:jc w:val="both"/>
            </w:pPr>
            <w:r w:rsidRPr="7D187541">
              <w:rPr>
                <w:rStyle w:val="Boldtext"/>
              </w:rPr>
              <w:t>Anticipated Implementation Year with CCA:</w:t>
            </w:r>
            <w:r w:rsidRPr="7D187541">
              <w:t xml:space="preserve"> Year in which measure is likely to be implemented. If measure is composed of several smaller changes, or gradual progress changes, then an average year might be appropriate. </w:t>
            </w:r>
          </w:p>
          <w:p w:rsidRPr="003F435B" w:rsidR="007C3D2A" w:rsidP="00D732A2" w:rsidRDefault="007C3D2A" w14:paraId="7DC5BDCD" w14:textId="51FC25C8">
            <w:pPr>
              <w:jc w:val="both"/>
            </w:pPr>
            <w:r w:rsidRPr="003F435B">
              <w:rPr>
                <w:b/>
              </w:rPr>
              <w:t>Anticipated Implementation Year without CCA:</w:t>
            </w:r>
            <w:r w:rsidRPr="003F435B">
              <w:t xml:space="preserve"> Estimated year in which measure is likely to be implemented IF FACILITY WAS NOT IN NEW CCA SCHEME</w:t>
            </w:r>
            <w:r w:rsidR="00E74259">
              <w:t xml:space="preserve"> i.e. if the facility had to pay full rates of CCL.</w:t>
            </w:r>
          </w:p>
          <w:p w:rsidRPr="0085191B" w:rsidR="007C3D2A" w:rsidP="00D732A2" w:rsidRDefault="00FA53C5" w14:paraId="05B62131" w14:textId="0081C90E">
            <w:pPr>
              <w:jc w:val="both"/>
              <w:rPr>
                <w:b/>
              </w:rPr>
            </w:pPr>
            <w:r w:rsidRPr="003F435B">
              <w:rPr>
                <w:b/>
              </w:rPr>
              <w:t xml:space="preserve">Payback time: </w:t>
            </w:r>
            <w:r w:rsidRPr="003F435B">
              <w:t>Expected payback period.</w:t>
            </w:r>
          </w:p>
        </w:tc>
      </w:tr>
    </w:tbl>
    <w:p w:rsidRPr="00711C2B" w:rsidR="00012AB1" w:rsidP="00D732A2" w:rsidRDefault="00012AB1" w14:paraId="00D5A78B" w14:textId="77777777">
      <w:pPr>
        <w:pStyle w:val="Heading1"/>
        <w:numPr>
          <w:ilvl w:val="0"/>
          <w:numId w:val="7"/>
        </w:numPr>
        <w:jc w:val="both"/>
        <w:rPr>
          <w:rFonts w:ascii="Aptos" w:hAnsi="Aptos"/>
        </w:rPr>
      </w:pPr>
      <w:bookmarkStart w:name="_Toc190180803" w:id="18"/>
      <w:bookmarkStart w:name="_Toc190180911" w:id="19"/>
      <w:bookmarkStart w:name="_Toc190181043" w:id="20"/>
      <w:bookmarkStart w:name="_Toc190700712" w:id="21"/>
      <w:r w:rsidRPr="00711C2B">
        <w:rPr>
          <w:rFonts w:ascii="Aptos" w:hAnsi="Aptos"/>
        </w:rPr>
        <w:t>Savings Assessment Overview</w:t>
      </w:r>
      <w:bookmarkEnd w:id="18"/>
      <w:bookmarkEnd w:id="19"/>
      <w:bookmarkEnd w:id="20"/>
      <w:bookmarkEnd w:id="21"/>
    </w:p>
    <w:p w:rsidRPr="00711C2B" w:rsidR="00012AB1" w:rsidP="00D732A2" w:rsidRDefault="00012AB1" w14:paraId="1F892051" w14:textId="77777777">
      <w:pPr>
        <w:pStyle w:val="ListParagraph"/>
        <w:numPr>
          <w:ilvl w:val="1"/>
          <w:numId w:val="7"/>
        </w:numPr>
        <w:spacing w:line="278" w:lineRule="auto"/>
        <w:ind w:left="431" w:hanging="431"/>
        <w:jc w:val="both"/>
      </w:pPr>
      <w:r w:rsidRPr="7D187541">
        <w:t>The Saving Assessment Overview tab provides the year-on-year profiled savings that have been identified in terms of:</w:t>
      </w:r>
    </w:p>
    <w:p w:rsidRPr="00711C2B" w:rsidR="00012AB1" w:rsidP="00D732A2" w:rsidRDefault="00012AB1" w14:paraId="6AA98C54" w14:textId="6997C6D9">
      <w:pPr>
        <w:pStyle w:val="ListParagraph"/>
        <w:numPr>
          <w:ilvl w:val="2"/>
          <w:numId w:val="7"/>
        </w:numPr>
        <w:spacing w:line="278" w:lineRule="auto"/>
        <w:jc w:val="both"/>
      </w:pPr>
      <w:r w:rsidRPr="7D187541">
        <w:t>Percentage energy consumption savings relative to the Base Year</w:t>
      </w:r>
      <w:r w:rsidRPr="7D187541" w:rsidR="00F261BB">
        <w:t xml:space="preserve"> with and without CCAs.</w:t>
      </w:r>
    </w:p>
    <w:p w:rsidRPr="00711C2B" w:rsidR="00012AB1" w:rsidP="00D732A2" w:rsidRDefault="00012AB1" w14:paraId="219C6725" w14:textId="701D90CF">
      <w:pPr>
        <w:pStyle w:val="ListParagraph"/>
        <w:numPr>
          <w:ilvl w:val="2"/>
          <w:numId w:val="7"/>
        </w:numPr>
        <w:spacing w:line="278" w:lineRule="auto"/>
        <w:jc w:val="both"/>
        <w:sectPr w:rsidRPr="00711C2B" w:rsidR="00012AB1" w:rsidSect="00012AB1">
          <w:headerReference w:type="default" r:id="rId23"/>
          <w:pgSz w:w="11906" w:h="16838" w:orient="portrait"/>
          <w:pgMar w:top="1418" w:right="907" w:bottom="907" w:left="907" w:header="709" w:footer="266" w:gutter="0"/>
          <w:cols w:space="708"/>
          <w:docGrid w:linePitch="360"/>
        </w:sectPr>
      </w:pPr>
      <w:r w:rsidRPr="7D187541">
        <w:t>Percentage carbon emissions savings relative to the Base Year</w:t>
      </w:r>
      <w:r w:rsidRPr="7D187541" w:rsidR="00F261BB">
        <w:t xml:space="preserve"> with and without CCAs.</w:t>
      </w:r>
    </w:p>
    <w:p w:rsidRPr="00A124DA" w:rsidR="009554A9" w:rsidP="00D732A2" w:rsidRDefault="009554A9" w14:paraId="7DC6E23A" w14:textId="6B531549">
      <w:pPr>
        <w:pStyle w:val="Heading2"/>
        <w:numPr>
          <w:ilvl w:val="0"/>
          <w:numId w:val="7"/>
        </w:numPr>
        <w:spacing w:after="0" w:line="240" w:lineRule="auto"/>
        <w:jc w:val="both"/>
        <w:rPr>
          <w:rFonts w:ascii="Aptos" w:hAnsi="Aptos"/>
          <w:sz w:val="40"/>
          <w:szCs w:val="40"/>
        </w:rPr>
      </w:pPr>
      <w:bookmarkStart w:name="_Toc190700713" w:id="22"/>
      <w:r w:rsidRPr="00A124DA">
        <w:rPr>
          <w:sz w:val="40"/>
          <w:szCs w:val="40"/>
        </w:rPr>
        <w:t xml:space="preserve">Annex </w:t>
      </w:r>
      <w:r w:rsidRPr="656CC060" w:rsidR="36E43C82">
        <w:rPr>
          <w:sz w:val="40"/>
          <w:szCs w:val="40"/>
        </w:rPr>
        <w:t>A</w:t>
      </w:r>
      <w:r w:rsidRPr="00A124DA">
        <w:rPr>
          <w:sz w:val="40"/>
          <w:szCs w:val="40"/>
        </w:rPr>
        <w:t>: Frequently Asked Questions</w:t>
      </w:r>
      <w:bookmarkEnd w:id="22"/>
    </w:p>
    <w:p w:rsidR="00A124DA" w:rsidP="00D732A2" w:rsidRDefault="00A124DA" w14:paraId="6804CFA0" w14:textId="77777777">
      <w:pPr>
        <w:jc w:val="both"/>
        <w:rPr>
          <w:rFonts w:eastAsia="Aptos Narrow" w:cs="Aptos Narrow"/>
          <w:b/>
          <w:bCs/>
          <w:lang w:val="en-US"/>
        </w:rPr>
      </w:pPr>
    </w:p>
    <w:p w:rsidRPr="008D5406" w:rsidR="008D5406" w:rsidP="00D732A2" w:rsidRDefault="00BA7F18" w14:paraId="718206F6" w14:textId="073109F6">
      <w:pPr>
        <w:jc w:val="both"/>
        <w:rPr>
          <w:rFonts w:eastAsiaTheme="majorEastAsia" w:cstheme="majorBidi"/>
          <w:color w:val="2F5496" w:themeColor="accent1" w:themeShade="BF"/>
          <w:sz w:val="28"/>
          <w:szCs w:val="28"/>
        </w:rPr>
      </w:pPr>
      <w:bookmarkStart w:name="_Toc190181670" w:id="23"/>
      <w:r>
        <w:rPr>
          <w:rFonts w:eastAsiaTheme="majorEastAsia" w:cstheme="majorBidi"/>
          <w:color w:val="2F5496" w:themeColor="accent1" w:themeShade="BF"/>
          <w:sz w:val="28"/>
          <w:szCs w:val="28"/>
        </w:rPr>
        <w:t xml:space="preserve">A. </w:t>
      </w:r>
      <w:r w:rsidRPr="008D5406" w:rsidR="008D5406">
        <w:rPr>
          <w:rFonts w:eastAsiaTheme="majorEastAsia" w:cstheme="majorBidi"/>
          <w:color w:val="2F5496" w:themeColor="accent1" w:themeShade="BF"/>
          <w:sz w:val="28"/>
          <w:szCs w:val="28"/>
        </w:rPr>
        <w:t>Guidance, Complexity &amp; Support</w:t>
      </w:r>
      <w:bookmarkEnd w:id="23"/>
      <w:r w:rsidRPr="008D5406" w:rsidR="008D5406">
        <w:rPr>
          <w:rFonts w:eastAsiaTheme="majorEastAsia" w:cstheme="majorBidi"/>
          <w:color w:val="2F5496" w:themeColor="accent1" w:themeShade="BF"/>
          <w:sz w:val="28"/>
          <w:szCs w:val="28"/>
        </w:rPr>
        <w:tab/>
      </w:r>
    </w:p>
    <w:p w:rsidRPr="00CF0142" w:rsidR="0028007B" w:rsidP="00D732A2" w:rsidRDefault="0028007B" w14:paraId="0F128F54" w14:textId="524C420E">
      <w:pPr>
        <w:pStyle w:val="ListParagraph"/>
        <w:numPr>
          <w:ilvl w:val="0"/>
          <w:numId w:val="6"/>
        </w:numPr>
        <w:jc w:val="both"/>
        <w:rPr>
          <w:rFonts w:eastAsia="Aptos Narrow" w:cs="Aptos Narrow"/>
          <w:b/>
          <w:bCs/>
          <w:lang w:val="en-US"/>
        </w:rPr>
      </w:pPr>
      <w:r w:rsidRPr="00CF0142">
        <w:rPr>
          <w:rFonts w:eastAsia="Aptos Narrow" w:cs="Aptos Narrow"/>
          <w:b/>
          <w:bCs/>
          <w:lang w:val="en-US"/>
        </w:rPr>
        <w:t>Can you just use our ESOS returns instead?</w:t>
      </w:r>
    </w:p>
    <w:p w:rsidRPr="00FA0DDD" w:rsidR="00F36D48" w:rsidP="00D732A2" w:rsidRDefault="00F36D48" w14:paraId="6034F139" w14:textId="799988F9">
      <w:pPr>
        <w:spacing w:line="278" w:lineRule="auto"/>
        <w:jc w:val="both"/>
        <w:rPr>
          <w:lang w:val="en-US"/>
        </w:rPr>
      </w:pPr>
      <w:r w:rsidRPr="008330DD">
        <w:rPr>
          <w:lang w:val="en-US"/>
        </w:rPr>
        <w:t>Participants may wish to include findings and recommendations from recent ESOS audits into their SAT return where appropriate. However, there are a number of reasons why we are unable to solely use ESOS returns to calculate initial targets: (</w:t>
      </w:r>
      <w:proofErr w:type="spellStart"/>
      <w:r w:rsidRPr="008330DD">
        <w:rPr>
          <w:lang w:val="en-US"/>
        </w:rPr>
        <w:t>i</w:t>
      </w:r>
      <w:proofErr w:type="spellEnd"/>
      <w:r w:rsidRPr="008330DD">
        <w:rPr>
          <w:lang w:val="en-US"/>
        </w:rPr>
        <w:t>) not all CCA scheme participants are subject to ESOS requirements, (ii) the timings of ESOS do not align with the time periods of the new phase of the CCA scheme, (iii) we require a more granular view: CCA targets</w:t>
      </w:r>
      <w:r w:rsidRPr="008330DD">
        <w:t xml:space="preserve"> are only based on eligible industrial process energy only whereas ESOS audits will cover all energy in transport, buildings and industrial processes</w:t>
      </w:r>
      <w:r w:rsidR="00E31FD7">
        <w:t>, (iv) f</w:t>
      </w:r>
      <w:r w:rsidR="001F45ED">
        <w:t>acilities may also want to consider implementation of carbon savings measures if their energy efficiency options are limited.</w:t>
      </w:r>
    </w:p>
    <w:p w:rsidRPr="00B371BC" w:rsidR="00B63795" w:rsidP="00D732A2" w:rsidRDefault="00B63795" w14:paraId="3D0DD4E8" w14:textId="77777777">
      <w:pPr>
        <w:pStyle w:val="ListParagraph"/>
        <w:numPr>
          <w:ilvl w:val="0"/>
          <w:numId w:val="6"/>
        </w:numPr>
        <w:jc w:val="both"/>
        <w:rPr>
          <w:rFonts w:eastAsia="Aptos Narrow" w:cs="Aptos Narrow"/>
          <w:b/>
          <w:bCs/>
        </w:rPr>
      </w:pPr>
      <w:r w:rsidRPr="7E49B1F5">
        <w:rPr>
          <w:rFonts w:eastAsia="Aptos Narrow" w:cs="Aptos Narrow"/>
          <w:b/>
          <w:bCs/>
          <w:lang w:val="en-US"/>
        </w:rPr>
        <w:t xml:space="preserve">This is a significant amount of effort. Once targets are agreed we would like reassurance we will not need to re-negotiate targets again for the remainder of the </w:t>
      </w:r>
      <w:proofErr w:type="gramStart"/>
      <w:r w:rsidRPr="7E49B1F5">
        <w:rPr>
          <w:rFonts w:eastAsia="Aptos Narrow" w:cs="Aptos Narrow"/>
          <w:b/>
          <w:bCs/>
          <w:lang w:val="en-US"/>
        </w:rPr>
        <w:t>scheme?</w:t>
      </w:r>
      <w:proofErr w:type="gramEnd"/>
      <w:r w:rsidRPr="7E49B1F5">
        <w:rPr>
          <w:rFonts w:eastAsia="Aptos Narrow" w:cs="Aptos Narrow"/>
          <w:b/>
          <w:bCs/>
        </w:rPr>
        <w:t> </w:t>
      </w:r>
    </w:p>
    <w:p w:rsidRPr="001D4D37" w:rsidR="00B63795" w:rsidP="7D187541" w:rsidRDefault="00B63795" w14:paraId="56AD92E9" w14:textId="258B0D95">
      <w:pPr>
        <w:jc w:val="both"/>
        <w:rPr>
          <w:rFonts w:eastAsia="Aptos Narrow" w:cs="Aptos Narrow"/>
          <w:color w:val="242424"/>
        </w:rPr>
      </w:pPr>
      <w:r w:rsidRPr="7D187541">
        <w:rPr>
          <w:rFonts w:eastAsia="Aptos Narrow" w:cs="Aptos Narrow"/>
        </w:rPr>
        <w:t>Yes, t</w:t>
      </w:r>
      <w:r w:rsidRPr="7D187541">
        <w:rPr>
          <w:rFonts w:eastAsia="Aptos Narrow" w:cs="Aptos Narrow"/>
          <w:color w:val="242424"/>
        </w:rPr>
        <w:t>his target setting process is intended to be a one-off exercise that sets targets for the duration of the scheme.  As set out in the Climate Change Agreements: Technical Annex, there may be some unique instances where it is appropriate to adjust a target, but this will be on a case-by-case basis.</w:t>
      </w:r>
    </w:p>
    <w:p w:rsidRPr="00CF0142" w:rsidR="0065303F" w:rsidP="00D732A2" w:rsidRDefault="0065303F" w14:paraId="600B9DFB" w14:textId="77697302">
      <w:pPr>
        <w:pStyle w:val="ListParagraph"/>
        <w:numPr>
          <w:ilvl w:val="0"/>
          <w:numId w:val="6"/>
        </w:numPr>
        <w:jc w:val="both"/>
        <w:rPr>
          <w:rFonts w:eastAsia="Times New Roman" w:cs="Segoe UI"/>
          <w:b/>
          <w:bCs/>
          <w:color w:val="161616"/>
          <w:lang w:val="en-US" w:eastAsia="en-GB"/>
        </w:rPr>
      </w:pPr>
      <w:r w:rsidRPr="7E49B1F5">
        <w:rPr>
          <w:rFonts w:eastAsia="Times New Roman" w:cs="Segoe UI"/>
          <w:b/>
          <w:bCs/>
          <w:color w:val="161616"/>
          <w:lang w:val="en-US" w:eastAsia="en-GB"/>
        </w:rPr>
        <w:t>Are there additional training resources or support available for facilities unfamiliar with the SAT?</w:t>
      </w:r>
    </w:p>
    <w:p w:rsidR="006F416B" w:rsidP="7D187541" w:rsidRDefault="55EB7A2C" w14:paraId="71C88604" w14:textId="5ED23126">
      <w:pPr>
        <w:jc w:val="both"/>
        <w:rPr>
          <w:rFonts w:eastAsia="Aptos Narrow" w:cs="Aptos Narrow"/>
        </w:rPr>
      </w:pPr>
      <w:r w:rsidRPr="7D187541">
        <w:rPr>
          <w:rFonts w:eastAsia="Aptos Narrow" w:cs="Aptos Narrow"/>
        </w:rPr>
        <w:t xml:space="preserve">In addition to this </w:t>
      </w:r>
      <w:r w:rsidRPr="7D187541" w:rsidR="0065303F">
        <w:rPr>
          <w:rFonts w:eastAsia="Aptos Narrow" w:cs="Aptos Narrow"/>
        </w:rPr>
        <w:t xml:space="preserve">guidance document, </w:t>
      </w:r>
      <w:r w:rsidRPr="7D187541" w:rsidR="08040B5D">
        <w:rPr>
          <w:rFonts w:eastAsia="Aptos Narrow" w:cs="Aptos Narrow"/>
        </w:rPr>
        <w:t xml:space="preserve">we have provided a </w:t>
      </w:r>
      <w:r w:rsidRPr="7D187541" w:rsidR="0065303F">
        <w:rPr>
          <w:rFonts w:eastAsia="Aptos Narrow" w:cs="Aptos Narrow"/>
        </w:rPr>
        <w:t xml:space="preserve">worked example of a completed SAT and a </w:t>
      </w:r>
      <w:r w:rsidRPr="7D187541" w:rsidR="00C94D67">
        <w:rPr>
          <w:rFonts w:eastAsia="Aptos Narrow" w:cs="Aptos Narrow"/>
        </w:rPr>
        <w:t xml:space="preserve">YouTube </w:t>
      </w:r>
      <w:r w:rsidRPr="7D187541" w:rsidR="0065303F">
        <w:rPr>
          <w:rFonts w:eastAsia="Aptos Narrow" w:cs="Aptos Narrow"/>
        </w:rPr>
        <w:t>video to support completion.</w:t>
      </w:r>
      <w:r w:rsidRPr="7D187541" w:rsidR="7402E944">
        <w:rPr>
          <w:rFonts w:eastAsia="Aptos Narrow" w:cs="Aptos Narrow"/>
        </w:rPr>
        <w:t xml:space="preserve"> </w:t>
      </w:r>
      <w:r w:rsidRPr="7D187541" w:rsidR="00B123F0">
        <w:rPr>
          <w:rFonts w:eastAsia="Aptos Narrow" w:cs="Aptos Narrow"/>
        </w:rPr>
        <w:t xml:space="preserve">The YouTube video is available at this URL: </w:t>
      </w:r>
      <w:hyperlink w:history="1" r:id="rId24">
        <w:r w:rsidRPr="7D187541" w:rsidR="00D61264">
          <w:rPr>
            <w:rStyle w:val="Hyperlink"/>
          </w:rPr>
          <w:t>https://www.youtube.com/watch?v=Za2RDzyur3s</w:t>
        </w:r>
      </w:hyperlink>
    </w:p>
    <w:p w:rsidRPr="00CF0142" w:rsidR="002B3E36" w:rsidP="00D732A2" w:rsidRDefault="7402E944" w14:paraId="3CD87AD0" w14:textId="7AD29949">
      <w:pPr>
        <w:jc w:val="both"/>
        <w:rPr>
          <w:rFonts w:eastAsia="Aptos Narrow" w:cs="Aptos Narrow"/>
        </w:rPr>
      </w:pPr>
      <w:r w:rsidRPr="3A8C6AF7">
        <w:rPr>
          <w:rFonts w:eastAsia="Aptos Narrow" w:cs="Aptos Narrow"/>
        </w:rPr>
        <w:t>Drop</w:t>
      </w:r>
      <w:r w:rsidR="00E318A5">
        <w:rPr>
          <w:rFonts w:eastAsia="Aptos Narrow" w:cs="Aptos Narrow"/>
        </w:rPr>
        <w:t>-</w:t>
      </w:r>
      <w:r w:rsidRPr="3A8C6AF7">
        <w:rPr>
          <w:rFonts w:eastAsia="Aptos Narrow" w:cs="Aptos Narrow"/>
        </w:rPr>
        <w:t>in sessions are also being organised to support operators</w:t>
      </w:r>
      <w:r w:rsidRPr="3A8C6AF7" w:rsidR="00235768">
        <w:rPr>
          <w:rFonts w:eastAsia="Aptos Narrow" w:cs="Aptos Narrow"/>
        </w:rPr>
        <w:t>,</w:t>
      </w:r>
      <w:r w:rsidRPr="3A8C6AF7">
        <w:rPr>
          <w:rFonts w:eastAsia="Aptos Narrow" w:cs="Aptos Narrow"/>
        </w:rPr>
        <w:t xml:space="preserve"> </w:t>
      </w:r>
      <w:r w:rsidRPr="3A8C6AF7" w:rsidR="00235768">
        <w:rPr>
          <w:rFonts w:eastAsia="Aptos Narrow" w:cs="Aptos Narrow"/>
        </w:rPr>
        <w:t xml:space="preserve">please </w:t>
      </w:r>
      <w:r w:rsidRPr="3A8C6AF7">
        <w:rPr>
          <w:rFonts w:eastAsia="Aptos Narrow" w:cs="Aptos Narrow"/>
        </w:rPr>
        <w:t xml:space="preserve">contact your </w:t>
      </w:r>
      <w:r w:rsidR="00A337C6">
        <w:rPr>
          <w:rFonts w:eastAsia="Aptos Narrow" w:cs="Aptos Narrow"/>
        </w:rPr>
        <w:t>S</w:t>
      </w:r>
      <w:r w:rsidRPr="3A8C6AF7" w:rsidR="00A337C6">
        <w:rPr>
          <w:rFonts w:eastAsia="Aptos Narrow" w:cs="Aptos Narrow"/>
        </w:rPr>
        <w:t xml:space="preserve">ector </w:t>
      </w:r>
      <w:r w:rsidR="00A337C6">
        <w:rPr>
          <w:rFonts w:eastAsia="Aptos Narrow" w:cs="Aptos Narrow"/>
        </w:rPr>
        <w:t>A</w:t>
      </w:r>
      <w:r w:rsidRPr="3A8C6AF7" w:rsidR="00A337C6">
        <w:rPr>
          <w:rFonts w:eastAsia="Aptos Narrow" w:cs="Aptos Narrow"/>
        </w:rPr>
        <w:t xml:space="preserve">ssociation </w:t>
      </w:r>
      <w:r w:rsidR="00A337C6">
        <w:rPr>
          <w:rFonts w:eastAsia="Aptos Narrow" w:cs="Aptos Narrow"/>
        </w:rPr>
        <w:t xml:space="preserve">(SA) </w:t>
      </w:r>
      <w:r w:rsidRPr="3A8C6AF7">
        <w:rPr>
          <w:rFonts w:eastAsia="Aptos Narrow" w:cs="Aptos Narrow"/>
        </w:rPr>
        <w:t xml:space="preserve">for more detail. </w:t>
      </w:r>
    </w:p>
    <w:p w:rsidRPr="00DE0F4B" w:rsidR="002B3E36" w:rsidP="00D732A2" w:rsidRDefault="002B3E36" w14:paraId="2B818BEF" w14:textId="21AF0F11">
      <w:pPr>
        <w:pStyle w:val="ListParagraph"/>
        <w:numPr>
          <w:ilvl w:val="0"/>
          <w:numId w:val="6"/>
        </w:numPr>
        <w:jc w:val="both"/>
        <w:rPr>
          <w:rFonts w:eastAsia="Aptos Narrow" w:cs="Aptos Narrow"/>
          <w:b/>
          <w:bCs/>
        </w:rPr>
      </w:pPr>
      <w:r w:rsidRPr="2DFF221E">
        <w:rPr>
          <w:rFonts w:eastAsia="Aptos Narrow" w:cs="Aptos Narrow"/>
          <w:b/>
          <w:bCs/>
        </w:rPr>
        <w:t>How long do you think it will take a facility to complete the SATs? </w:t>
      </w:r>
    </w:p>
    <w:p w:rsidR="00CF0142" w:rsidP="00D732A2" w:rsidRDefault="346D0A90" w14:paraId="2D7ECEC0" w14:textId="6D358210">
      <w:pPr>
        <w:jc w:val="both"/>
        <w:rPr>
          <w:rFonts w:eastAsia="Aptos Narrow" w:cs="Aptos Narrow"/>
          <w:lang w:val="en-US"/>
        </w:rPr>
      </w:pPr>
      <w:r w:rsidRPr="108CE9D3">
        <w:rPr>
          <w:rFonts w:eastAsia="Aptos Narrow" w:cs="Aptos Narrow"/>
          <w:lang w:val="en-US"/>
        </w:rPr>
        <w:t xml:space="preserve">This will be different on a case-by-case basis. We appreciate that this is a comprehensive ask. We have tried to strike a balance between the need to gather good quality data to inform targets, </w:t>
      </w:r>
      <w:proofErr w:type="gramStart"/>
      <w:r w:rsidRPr="108CE9D3">
        <w:rPr>
          <w:rFonts w:eastAsia="Aptos Narrow" w:cs="Aptos Narrow"/>
          <w:lang w:val="en-US"/>
        </w:rPr>
        <w:t>administrative</w:t>
      </w:r>
      <w:proofErr w:type="gramEnd"/>
      <w:r w:rsidRPr="108CE9D3">
        <w:rPr>
          <w:rFonts w:eastAsia="Aptos Narrow" w:cs="Aptos Narrow"/>
          <w:lang w:val="en-US"/>
        </w:rPr>
        <w:t xml:space="preserve"> burden </w:t>
      </w:r>
      <w:r w:rsidRPr="108CE9D3" w:rsidR="6C902EBF">
        <w:rPr>
          <w:rFonts w:eastAsia="Aptos Narrow" w:cs="Aptos Narrow"/>
          <w:lang w:val="en-US"/>
        </w:rPr>
        <w:t xml:space="preserve">to operators </w:t>
      </w:r>
      <w:r w:rsidRPr="108CE9D3">
        <w:rPr>
          <w:rFonts w:eastAsia="Aptos Narrow" w:cs="Aptos Narrow"/>
          <w:lang w:val="en-US"/>
        </w:rPr>
        <w:t>and the value of tax relief offered over the lifetime of the scheme. </w:t>
      </w:r>
    </w:p>
    <w:p w:rsidRPr="0028007B" w:rsidR="007803F5" w:rsidP="00D732A2" w:rsidRDefault="002B3E36" w14:paraId="0670A722" w14:textId="75FF6128">
      <w:pPr>
        <w:spacing w:after="0" w:line="240" w:lineRule="auto"/>
        <w:jc w:val="both"/>
        <w:rPr>
          <w:rFonts w:eastAsia="Aptos Narrow" w:cs="Aptos Narrow"/>
          <w:lang w:val="en-US"/>
        </w:rPr>
      </w:pPr>
      <w:r w:rsidRPr="2DFF221E">
        <w:rPr>
          <w:rFonts w:eastAsia="Aptos Narrow" w:cs="Aptos Narrow"/>
          <w:lang w:val="en-US"/>
        </w:rPr>
        <w:t xml:space="preserve">To note, this will also be a one-off process for the full 6-year scheme in comparison to the recent extensions occurring every </w:t>
      </w:r>
      <w:proofErr w:type="gramStart"/>
      <w:r w:rsidRPr="2DFF221E">
        <w:rPr>
          <w:rFonts w:eastAsia="Aptos Narrow" w:cs="Aptos Narrow"/>
          <w:lang w:val="en-US"/>
        </w:rPr>
        <w:t>2-years</w:t>
      </w:r>
      <w:proofErr w:type="gramEnd"/>
      <w:r w:rsidRPr="2DFF221E">
        <w:rPr>
          <w:rFonts w:eastAsia="Aptos Narrow" w:cs="Aptos Narrow"/>
          <w:lang w:val="en-US"/>
        </w:rPr>
        <w:t>. </w:t>
      </w:r>
    </w:p>
    <w:p w:rsidRPr="007803F5" w:rsidR="007803F5" w:rsidP="00D732A2" w:rsidRDefault="00AB3B3B" w14:paraId="73B9CD19" w14:textId="23F92EB2">
      <w:pPr>
        <w:pStyle w:val="Heading3"/>
        <w:spacing w:line="240" w:lineRule="auto"/>
        <w:jc w:val="both"/>
      </w:pPr>
      <w:bookmarkStart w:name="_Toc190181047" w:id="24"/>
      <w:bookmarkStart w:name="_Toc190700714" w:id="25"/>
      <w:r>
        <w:t>B</w:t>
      </w:r>
      <w:r w:rsidR="007803F5">
        <w:t xml:space="preserve">. </w:t>
      </w:r>
      <w:r w:rsidR="0028007B">
        <w:t>Timings / Process</w:t>
      </w:r>
      <w:bookmarkEnd w:id="24"/>
      <w:bookmarkEnd w:id="25"/>
    </w:p>
    <w:p w:rsidR="00874971" w:rsidP="00D732A2" w:rsidRDefault="00874971" w14:paraId="6BE9E3FB" w14:textId="77777777">
      <w:pPr>
        <w:spacing w:after="0" w:line="240" w:lineRule="auto"/>
        <w:jc w:val="both"/>
        <w:rPr>
          <w:b/>
          <w:bCs/>
        </w:rPr>
      </w:pPr>
    </w:p>
    <w:p w:rsidR="007803F5" w:rsidP="00D732A2" w:rsidRDefault="0028007B" w14:paraId="5A726D77" w14:textId="18C159EE">
      <w:pPr>
        <w:pStyle w:val="ListParagraph"/>
        <w:numPr>
          <w:ilvl w:val="0"/>
          <w:numId w:val="6"/>
        </w:numPr>
        <w:jc w:val="both"/>
        <w:rPr>
          <w:b/>
          <w:bCs/>
        </w:rPr>
      </w:pPr>
      <w:r w:rsidRPr="2DFF221E">
        <w:rPr>
          <w:b/>
          <w:bCs/>
        </w:rPr>
        <w:t>When is the deadline for this data collection exercise?</w:t>
      </w:r>
    </w:p>
    <w:p w:rsidRPr="0028007B" w:rsidR="007803F5" w:rsidP="00D732A2" w:rsidRDefault="6ECB13F1" w14:paraId="3B0E8578" w14:textId="41CA0458">
      <w:pPr>
        <w:jc w:val="both"/>
        <w:rPr>
          <w:rFonts w:eastAsia="Aptos Narrow" w:cs="Aptos Narrow"/>
          <w:lang w:val="en-US"/>
        </w:rPr>
      </w:pPr>
      <w:r w:rsidRPr="3AB572AE">
        <w:rPr>
          <w:rFonts w:eastAsia="Aptos Narrow" w:cs="Aptos Narrow"/>
          <w:lang w:val="en-US"/>
        </w:rPr>
        <w:t xml:space="preserve">The deadline for </w:t>
      </w:r>
      <w:r w:rsidRPr="3AB572AE" w:rsidR="6C21CDCE">
        <w:rPr>
          <w:rFonts w:eastAsia="Aptos Narrow" w:cs="Aptos Narrow"/>
          <w:lang w:val="en-US"/>
        </w:rPr>
        <w:t xml:space="preserve">Sector Associations to </w:t>
      </w:r>
      <w:r w:rsidRPr="3AB572AE">
        <w:rPr>
          <w:rFonts w:eastAsia="Aptos Narrow" w:cs="Aptos Narrow"/>
          <w:lang w:val="en-US"/>
        </w:rPr>
        <w:t xml:space="preserve">submit completed SATs is </w:t>
      </w:r>
      <w:r w:rsidRPr="3AB572AE">
        <w:rPr>
          <w:rFonts w:eastAsia="Aptos Narrow" w:cs="Aptos Narrow"/>
          <w:u w:val="single"/>
          <w:lang w:val="en-US"/>
        </w:rPr>
        <w:t>Thursday 17th April</w:t>
      </w:r>
      <w:r w:rsidR="000D51FC">
        <w:rPr>
          <w:rFonts w:eastAsia="Aptos Narrow" w:cs="Aptos Narrow"/>
          <w:u w:val="single"/>
          <w:lang w:val="en-US"/>
        </w:rPr>
        <w:t xml:space="preserve"> at 5pm</w:t>
      </w:r>
      <w:r w:rsidRPr="3AB572AE" w:rsidR="44C62631">
        <w:rPr>
          <w:rFonts w:eastAsia="Aptos Narrow" w:cs="Aptos Narrow"/>
          <w:lang w:val="en-US"/>
        </w:rPr>
        <w:t xml:space="preserve">. </w:t>
      </w:r>
      <w:r w:rsidRPr="3AB572AE" w:rsidR="6E8DBC15">
        <w:rPr>
          <w:rFonts w:eastAsia="Aptos Narrow" w:cs="Aptos Narrow"/>
          <w:lang w:val="en-US"/>
        </w:rPr>
        <w:t xml:space="preserve">Operators will likely need to submit details before then to their Sector Associations. </w:t>
      </w:r>
    </w:p>
    <w:p w:rsidR="007803F5" w:rsidP="00D732A2" w:rsidRDefault="0028007B" w14:paraId="4F0EB38C" w14:textId="56F828FD">
      <w:pPr>
        <w:pStyle w:val="ListParagraph"/>
        <w:numPr>
          <w:ilvl w:val="0"/>
          <w:numId w:val="6"/>
        </w:numPr>
        <w:jc w:val="both"/>
        <w:rPr>
          <w:b/>
          <w:bCs/>
        </w:rPr>
      </w:pPr>
      <w:r w:rsidRPr="6C22B751">
        <w:rPr>
          <w:b/>
          <w:bCs/>
        </w:rPr>
        <w:t>How does this compare to the CCA TP6 reporting requirements?</w:t>
      </w:r>
    </w:p>
    <w:p w:rsidRPr="00CF0142" w:rsidR="007803F5" w:rsidP="00D732A2" w:rsidRDefault="1D5C76C0" w14:paraId="22FDA4AE" w14:textId="301F34A3">
      <w:pPr>
        <w:jc w:val="both"/>
        <w:rPr>
          <w:rFonts w:eastAsia="Aptos Narrow" w:cs="Aptos Narrow"/>
          <w:lang w:val="en-US"/>
        </w:rPr>
      </w:pPr>
      <w:r w:rsidRPr="00CF0142">
        <w:rPr>
          <w:rFonts w:eastAsia="Aptos Narrow" w:cs="Aptos Narrow"/>
          <w:lang w:val="en-US"/>
        </w:rPr>
        <w:t xml:space="preserve">Target Period 6 (TP6) refers to the most recent extension to the second phase of the CCA scheme (2024) whereas this baseline and target setting data collection exercise is in the context of the third phase of the CCA scheme (2026-2030). The additional reporting requirements for TP6 were outlined in the Government Response </w:t>
      </w:r>
      <w:r w:rsidRPr="00CF0142" w:rsidR="7C524DFD">
        <w:rPr>
          <w:rFonts w:eastAsia="Aptos Narrow" w:cs="Aptos Narrow"/>
          <w:lang w:val="en-US"/>
        </w:rPr>
        <w:t>(GR)</w:t>
      </w:r>
      <w:r w:rsidRPr="00CF0142">
        <w:rPr>
          <w:rFonts w:eastAsia="Aptos Narrow" w:cs="Aptos Narrow"/>
          <w:lang w:val="en-US"/>
        </w:rPr>
        <w:t xml:space="preserve"> to the March 2023 Consultation</w:t>
      </w:r>
      <w:r w:rsidRPr="00CF0142" w:rsidR="0028007B">
        <w:rPr>
          <w:rFonts w:eastAsia="Aptos Narrow" w:cs="Aptos Narrow"/>
          <w:vertAlign w:val="superscript"/>
          <w:lang w:val="en-US"/>
        </w:rPr>
        <w:footnoteReference w:id="2"/>
      </w:r>
      <w:r w:rsidRPr="00CF0142">
        <w:rPr>
          <w:rFonts w:eastAsia="Aptos Narrow" w:cs="Aptos Narrow"/>
          <w:lang w:val="en-US"/>
        </w:rPr>
        <w:t>.</w:t>
      </w:r>
      <w:r w:rsidRPr="00CF0142" w:rsidR="234F58B2">
        <w:rPr>
          <w:rFonts w:eastAsia="Aptos Narrow" w:cs="Aptos Narrow"/>
          <w:lang w:val="en-US"/>
        </w:rPr>
        <w:t xml:space="preserve"> </w:t>
      </w:r>
      <w:r w:rsidRPr="3AB572AE" w:rsidR="42C60189">
        <w:rPr>
          <w:rFonts w:eastAsia="Aptos Narrow" w:cs="Aptos Narrow"/>
          <w:lang w:val="en-US"/>
        </w:rPr>
        <w:t xml:space="preserve">All operators must comply with TP6 requirements. </w:t>
      </w:r>
    </w:p>
    <w:p w:rsidR="007803F5" w:rsidP="00D732A2" w:rsidRDefault="0028007B" w14:paraId="16A0519A" w14:textId="37A80185">
      <w:pPr>
        <w:pStyle w:val="ListParagraph"/>
        <w:numPr>
          <w:ilvl w:val="0"/>
          <w:numId w:val="6"/>
        </w:numPr>
        <w:jc w:val="both"/>
        <w:rPr>
          <w:b/>
        </w:rPr>
      </w:pPr>
      <w:r w:rsidRPr="59634107">
        <w:rPr>
          <w:b/>
          <w:bCs/>
        </w:rPr>
        <w:t>What's the process/timeframe for setting targets for new processes that might be eligible to be covered by a CCA after DESNZ has confirmed eligibility changes?</w:t>
      </w:r>
    </w:p>
    <w:p w:rsidRPr="00CF0142" w:rsidR="00B7484F" w:rsidP="00D732A2" w:rsidRDefault="00B7484F" w14:paraId="365B2AE7" w14:textId="698EF361">
      <w:pPr>
        <w:jc w:val="both"/>
        <w:rPr>
          <w:rFonts w:eastAsia="Aptos Narrow" w:cs="Aptos Narrow"/>
          <w:lang w:val="en-US"/>
        </w:rPr>
      </w:pPr>
      <w:r w:rsidRPr="457F5A1E">
        <w:rPr>
          <w:rFonts w:eastAsia="Aptos Narrow" w:cs="Aptos Narrow"/>
          <w:lang w:val="en-US"/>
        </w:rPr>
        <w:t xml:space="preserve">As set out in the recent GR, </w:t>
      </w:r>
      <w:r w:rsidRPr="457F5A1E" w:rsidR="7E6E9B83">
        <w:rPr>
          <w:rFonts w:eastAsia="Aptos Narrow" w:cs="Aptos Narrow"/>
          <w:lang w:val="en-US"/>
        </w:rPr>
        <w:t xml:space="preserve">subject to </w:t>
      </w:r>
      <w:r w:rsidRPr="4047BC64" w:rsidR="7E6E9B83">
        <w:rPr>
          <w:rFonts w:eastAsia="Aptos Narrow" w:cs="Aptos Narrow"/>
          <w:lang w:val="en-US"/>
        </w:rPr>
        <w:t xml:space="preserve">parliamentary approval and </w:t>
      </w:r>
      <w:r w:rsidRPr="5936B55C" w:rsidR="7E6E9B83">
        <w:rPr>
          <w:rFonts w:eastAsia="Aptos Narrow" w:cs="Aptos Narrow"/>
          <w:lang w:val="en-US"/>
        </w:rPr>
        <w:t xml:space="preserve">timings, the legislative requirements and subsequent </w:t>
      </w:r>
      <w:r w:rsidRPr="1CD0902B" w:rsidR="79845569">
        <w:rPr>
          <w:rFonts w:eastAsia="Aptos Narrow" w:cs="Aptos Narrow"/>
          <w:lang w:val="en-US"/>
        </w:rPr>
        <w:t>process</w:t>
      </w:r>
      <w:r w:rsidRPr="2604F40B" w:rsidR="7E6E9B83">
        <w:rPr>
          <w:rFonts w:eastAsia="Aptos Narrow" w:cs="Aptos Narrow"/>
          <w:lang w:val="en-US"/>
        </w:rPr>
        <w:t xml:space="preserve"> to assess new applications are </w:t>
      </w:r>
      <w:r w:rsidRPr="4F0216FD" w:rsidR="7E6E9B83">
        <w:rPr>
          <w:rFonts w:eastAsia="Aptos Narrow" w:cs="Aptos Narrow"/>
          <w:lang w:val="en-US"/>
        </w:rPr>
        <w:t xml:space="preserve">likely to mean that any new sectors or process </w:t>
      </w:r>
      <w:r w:rsidRPr="47E14CDB" w:rsidR="7E6E9B83">
        <w:rPr>
          <w:rFonts w:eastAsia="Aptos Narrow" w:cs="Aptos Narrow"/>
          <w:lang w:val="en-US"/>
        </w:rPr>
        <w:t>found to be eligible will not be able to</w:t>
      </w:r>
      <w:r w:rsidRPr="5E98447E" w:rsidR="7E6E9B83">
        <w:rPr>
          <w:rFonts w:eastAsia="Aptos Narrow" w:cs="Aptos Narrow"/>
          <w:lang w:val="en-US"/>
        </w:rPr>
        <w:t xml:space="preserve"> </w:t>
      </w:r>
      <w:r w:rsidRPr="5F634CE2" w:rsidR="6813D2F2">
        <w:rPr>
          <w:rFonts w:eastAsia="Aptos Narrow" w:cs="Aptos Narrow"/>
          <w:lang w:val="en-US"/>
        </w:rPr>
        <w:t xml:space="preserve">join until 1 </w:t>
      </w:r>
      <w:r w:rsidRPr="6F538807" w:rsidR="6813D2F2">
        <w:rPr>
          <w:rFonts w:eastAsia="Aptos Narrow" w:cs="Aptos Narrow"/>
          <w:lang w:val="en-US"/>
        </w:rPr>
        <w:t>January</w:t>
      </w:r>
      <w:r w:rsidRPr="6F538807" w:rsidR="7E6E9B83">
        <w:rPr>
          <w:rFonts w:eastAsia="Aptos Narrow" w:cs="Aptos Narrow"/>
          <w:lang w:val="en-US"/>
        </w:rPr>
        <w:t xml:space="preserve"> </w:t>
      </w:r>
      <w:r w:rsidRPr="6F538807" w:rsidR="6813D2F2">
        <w:rPr>
          <w:rFonts w:eastAsia="Aptos Narrow" w:cs="Aptos Narrow"/>
          <w:lang w:val="en-US"/>
        </w:rPr>
        <w:t xml:space="preserve">2027. </w:t>
      </w:r>
      <w:r w:rsidRPr="6534215E">
        <w:rPr>
          <w:rFonts w:eastAsia="Aptos Narrow" w:cs="Aptos Narrow"/>
          <w:lang w:val="en-US"/>
        </w:rPr>
        <w:t xml:space="preserve">As such, we expect that new sectors will go through the same target setting processes on a slower timeframe – we are already in discussion with the relevant Sector Associations that </w:t>
      </w:r>
      <w:r w:rsidR="00EB5606">
        <w:rPr>
          <w:rFonts w:eastAsia="Aptos Narrow" w:cs="Aptos Narrow"/>
          <w:lang w:val="en-US"/>
        </w:rPr>
        <w:t xml:space="preserve">represent </w:t>
      </w:r>
      <w:r w:rsidRPr="6534215E">
        <w:rPr>
          <w:rFonts w:eastAsia="Aptos Narrow" w:cs="Aptos Narrow"/>
          <w:lang w:val="en-US"/>
        </w:rPr>
        <w:t xml:space="preserve">the application process for new sectors and processes. The target setting process for successful applicants is likely to begin in 2026, after the current target setting process for existing sectors has been completed. </w:t>
      </w:r>
      <w:r w:rsidRPr="52114499" w:rsidR="2D61D6B3">
        <w:rPr>
          <w:rFonts w:eastAsia="Aptos Narrow" w:cs="Aptos Narrow"/>
          <w:lang w:val="en-US"/>
        </w:rPr>
        <w:t xml:space="preserve">This will be confirmed in due course. </w:t>
      </w:r>
    </w:p>
    <w:p w:rsidRPr="007803F5" w:rsidR="007803F5" w:rsidP="00D732A2" w:rsidRDefault="00AB3B3B" w14:paraId="37AF47F1" w14:textId="2C1BB146">
      <w:pPr>
        <w:pStyle w:val="Heading3"/>
        <w:spacing w:after="0" w:line="240" w:lineRule="auto"/>
        <w:jc w:val="both"/>
      </w:pPr>
      <w:bookmarkStart w:name="_Toc190181048" w:id="26"/>
      <w:bookmarkStart w:name="_Toc190700715" w:id="27"/>
      <w:r>
        <w:t>C</w:t>
      </w:r>
      <w:r w:rsidR="007803F5">
        <w:t xml:space="preserve">. </w:t>
      </w:r>
      <w:r w:rsidRPr="0028007B" w:rsidR="0028007B">
        <w:t>Base Year</w:t>
      </w:r>
      <w:bookmarkEnd w:id="26"/>
      <w:bookmarkEnd w:id="27"/>
    </w:p>
    <w:p w:rsidR="00874971" w:rsidP="00D732A2" w:rsidRDefault="00874971" w14:paraId="25027D09" w14:textId="77777777">
      <w:pPr>
        <w:spacing w:after="0" w:line="240" w:lineRule="auto"/>
        <w:ind w:left="720"/>
        <w:jc w:val="both"/>
        <w:rPr>
          <w:b/>
          <w:bCs/>
        </w:rPr>
      </w:pPr>
    </w:p>
    <w:p w:rsidRPr="008330DD" w:rsidR="003C7720" w:rsidP="59634107" w:rsidRDefault="003C7720" w14:paraId="0E512D17" w14:textId="0FA352A8">
      <w:pPr>
        <w:numPr>
          <w:ilvl w:val="0"/>
          <w:numId w:val="6"/>
        </w:numPr>
        <w:spacing w:line="278" w:lineRule="auto"/>
        <w:jc w:val="both"/>
        <w:rPr>
          <w:b/>
          <w:bCs/>
        </w:rPr>
      </w:pPr>
      <w:proofErr w:type="gramStart"/>
      <w:r w:rsidRPr="59634107">
        <w:rPr>
          <w:b/>
          <w:bCs/>
        </w:rPr>
        <w:t>Is</w:t>
      </w:r>
      <w:proofErr w:type="gramEnd"/>
      <w:r w:rsidRPr="59634107">
        <w:rPr>
          <w:b/>
          <w:bCs/>
        </w:rPr>
        <w:t xml:space="preserve"> 2022 base year data a calendar year, January to December?</w:t>
      </w:r>
    </w:p>
    <w:p w:rsidRPr="0028007B" w:rsidR="007803F5" w:rsidP="00D732A2" w:rsidRDefault="0028007B" w14:paraId="4F6B2366" w14:textId="2E975642">
      <w:pPr>
        <w:jc w:val="both"/>
        <w:rPr>
          <w:rFonts w:eastAsia="Aptos Narrow" w:cs="Aptos Narrow"/>
          <w:lang w:val="en-US"/>
        </w:rPr>
      </w:pPr>
      <w:r w:rsidRPr="00CF0142">
        <w:rPr>
          <w:rFonts w:eastAsia="Aptos Narrow" w:cs="Aptos Narrow"/>
          <w:lang w:val="en-US"/>
        </w:rPr>
        <w:t>All facilities in production before January 2022 should enter data for the full calendar year. Facilities that may have joined the scheme part way through 2022 should enter 12 months data from the point the facilities entered the scheme. If there are circumstances in which a facility had partial closures in 2022, please can this be made known to your SA and DESNZ at the earliest convenience</w:t>
      </w:r>
      <w:r w:rsidR="00E32A42">
        <w:rPr>
          <w:rFonts w:eastAsia="Aptos Narrow" w:cs="Aptos Narrow"/>
          <w:lang w:val="en-US"/>
        </w:rPr>
        <w:t xml:space="preserve"> </w:t>
      </w:r>
      <w:r w:rsidR="00E32A42">
        <w:t>(</w:t>
      </w:r>
      <w:hyperlink w:history="1" r:id="rId25">
        <w:r w:rsidRPr="005D6DB8" w:rsidR="00E32A42">
          <w:rPr>
            <w:rStyle w:val="Hyperlink"/>
          </w:rPr>
          <w:t>cca@energysecurity.gov.uk</w:t>
        </w:r>
      </w:hyperlink>
      <w:r w:rsidR="00E32A42">
        <w:t>)</w:t>
      </w:r>
      <w:r w:rsidRPr="00CF0142">
        <w:rPr>
          <w:rFonts w:eastAsia="Aptos Narrow" w:cs="Aptos Narrow"/>
          <w:lang w:val="en-US"/>
        </w:rPr>
        <w:t>. DESNZ will then take this away for review with Ricardo and the E</w:t>
      </w:r>
      <w:r w:rsidR="009624EC">
        <w:rPr>
          <w:rFonts w:eastAsia="Aptos Narrow" w:cs="Aptos Narrow"/>
          <w:lang w:val="en-US"/>
        </w:rPr>
        <w:t xml:space="preserve">nvironment </w:t>
      </w:r>
      <w:r w:rsidRPr="00CF0142">
        <w:rPr>
          <w:rFonts w:eastAsia="Aptos Narrow" w:cs="Aptos Narrow"/>
          <w:lang w:val="en-US"/>
        </w:rPr>
        <w:t>A</w:t>
      </w:r>
      <w:r w:rsidR="009624EC">
        <w:rPr>
          <w:rFonts w:eastAsia="Aptos Narrow" w:cs="Aptos Narrow"/>
          <w:lang w:val="en-US"/>
        </w:rPr>
        <w:t>gency (EA)</w:t>
      </w:r>
      <w:r w:rsidRPr="00CF0142">
        <w:rPr>
          <w:rFonts w:eastAsia="Aptos Narrow" w:cs="Aptos Narrow"/>
          <w:lang w:val="en-US"/>
        </w:rPr>
        <w:t xml:space="preserve"> on a case-by-case basis.</w:t>
      </w:r>
    </w:p>
    <w:p w:rsidR="007803F5" w:rsidP="00D732A2" w:rsidRDefault="0028007B" w14:paraId="429FB72C" w14:textId="39178B5F">
      <w:pPr>
        <w:pStyle w:val="ListParagraph"/>
        <w:numPr>
          <w:ilvl w:val="0"/>
          <w:numId w:val="6"/>
        </w:numPr>
        <w:jc w:val="both"/>
        <w:rPr>
          <w:b/>
        </w:rPr>
      </w:pPr>
      <w:r w:rsidRPr="59634107">
        <w:rPr>
          <w:b/>
          <w:bCs/>
        </w:rPr>
        <w:t xml:space="preserve">The base year covers the start of the conflict in Ukraine - will the impact of energy pricing and therefore fuel switching be </w:t>
      </w:r>
      <w:proofErr w:type="gramStart"/>
      <w:r w:rsidRPr="59634107">
        <w:rPr>
          <w:b/>
          <w:bCs/>
        </w:rPr>
        <w:t>taken into account</w:t>
      </w:r>
      <w:proofErr w:type="gramEnd"/>
      <w:r w:rsidRPr="59634107">
        <w:rPr>
          <w:b/>
          <w:bCs/>
        </w:rPr>
        <w:t xml:space="preserve">?    </w:t>
      </w:r>
    </w:p>
    <w:p w:rsidRPr="0028007B" w:rsidR="007803F5" w:rsidP="00D732A2" w:rsidRDefault="7BC20101" w14:paraId="2E9B0442" w14:textId="4D3D5414">
      <w:pPr>
        <w:jc w:val="both"/>
        <w:rPr>
          <w:rFonts w:eastAsia="Aptos Narrow" w:cs="Aptos Narrow"/>
          <w:lang w:val="en-US"/>
        </w:rPr>
      </w:pPr>
      <w:r w:rsidRPr="771F425A">
        <w:rPr>
          <w:rFonts w:eastAsia="Aptos Narrow" w:cs="Aptos Narrow"/>
          <w:lang w:val="en-US"/>
        </w:rPr>
        <w:t>DESNZ welcomes additional material from the SA such as market conditions impacting the base year (and the entire period of the new phase of the scheme) to be shared alongside the completed SAT submissions.</w:t>
      </w:r>
    </w:p>
    <w:p w:rsidR="007803F5" w:rsidP="00D732A2" w:rsidRDefault="0028007B" w14:paraId="61663EB3" w14:textId="6DDA6E59">
      <w:pPr>
        <w:pStyle w:val="ListParagraph"/>
        <w:numPr>
          <w:ilvl w:val="0"/>
          <w:numId w:val="6"/>
        </w:numPr>
        <w:jc w:val="both"/>
        <w:rPr>
          <w:b/>
        </w:rPr>
      </w:pPr>
      <w:r w:rsidRPr="59634107">
        <w:rPr>
          <w:b/>
          <w:bCs/>
        </w:rPr>
        <w:t xml:space="preserve">Will operators be required to recalculate the base year energy use using updated energy conversion factors to convert from e.g. litres into kWh? </w:t>
      </w:r>
    </w:p>
    <w:p w:rsidRPr="0028007B" w:rsidR="0028007B" w:rsidP="00D732A2" w:rsidRDefault="0028007B" w14:paraId="5567D8C2" w14:textId="7110652D">
      <w:pPr>
        <w:jc w:val="both"/>
      </w:pPr>
      <w:r w:rsidRPr="00CF0142">
        <w:rPr>
          <w:rFonts w:eastAsia="Aptos Narrow" w:cs="Aptos Narrow"/>
          <w:lang w:val="en-US"/>
        </w:rPr>
        <w:t>Yes. Conversion factors have been added to in sheet “</w:t>
      </w:r>
      <w:proofErr w:type="gramStart"/>
      <w:r w:rsidRPr="00CF0142">
        <w:rPr>
          <w:rFonts w:eastAsia="Aptos Narrow" w:cs="Aptos Narrow"/>
          <w:lang w:val="en-US"/>
        </w:rPr>
        <w:t>1.Facility</w:t>
      </w:r>
      <w:proofErr w:type="gramEnd"/>
      <w:r w:rsidRPr="00CF0142">
        <w:rPr>
          <w:rFonts w:eastAsia="Aptos Narrow" w:cs="Aptos Narrow"/>
          <w:lang w:val="en-US"/>
        </w:rPr>
        <w:t xml:space="preserve"> Details”. Any missing factors will be added before the final commission.</w:t>
      </w:r>
    </w:p>
    <w:p w:rsidR="0028007B" w:rsidP="00D732A2" w:rsidRDefault="00AB3B3B" w14:paraId="0BF35EED" w14:textId="1D0669DC">
      <w:pPr>
        <w:pStyle w:val="Heading3"/>
        <w:spacing w:line="240" w:lineRule="auto"/>
        <w:jc w:val="both"/>
      </w:pPr>
      <w:bookmarkStart w:name="_Toc190181049" w:id="28"/>
      <w:bookmarkStart w:name="_Toc190700716" w:id="29"/>
      <w:r>
        <w:t>D</w:t>
      </w:r>
      <w:r w:rsidR="007803F5">
        <w:t xml:space="preserve">. </w:t>
      </w:r>
      <w:r w:rsidRPr="0028007B" w:rsidR="0028007B">
        <w:t>Costs and Commercial Sensitivity</w:t>
      </w:r>
      <w:bookmarkEnd w:id="28"/>
      <w:bookmarkEnd w:id="29"/>
    </w:p>
    <w:p w:rsidR="007803F5" w:rsidP="00D732A2" w:rsidRDefault="3F992911" w14:paraId="428EF2F0" w14:textId="3BD2252E">
      <w:pPr>
        <w:pStyle w:val="ListParagraph"/>
        <w:numPr>
          <w:ilvl w:val="0"/>
          <w:numId w:val="6"/>
        </w:numPr>
        <w:jc w:val="both"/>
      </w:pPr>
      <w:r w:rsidRPr="3F8481F4">
        <w:rPr>
          <w:b/>
          <w:bCs/>
        </w:rPr>
        <w:t>What</w:t>
      </w:r>
      <w:r w:rsidRPr="3F8481F4" w:rsidR="0028007B">
        <w:rPr>
          <w:b/>
          <w:bCs/>
        </w:rPr>
        <w:t xml:space="preserve"> guarantees can DESNZ provide that commercially sensitive data, particularly relating to costs and investment plans, are not put in the public domain?</w:t>
      </w:r>
    </w:p>
    <w:p w:rsidRPr="00CF0142" w:rsidR="000A7FE7" w:rsidP="00D732A2" w:rsidRDefault="000A7FE7" w14:paraId="1034B5A3" w14:textId="2C6CA341">
      <w:pPr>
        <w:jc w:val="both"/>
        <w:rPr>
          <w:rFonts w:eastAsia="Aptos Narrow" w:cs="Aptos Narrow"/>
          <w:lang w:val="en-US"/>
        </w:rPr>
      </w:pPr>
      <w:r w:rsidRPr="00CF0142">
        <w:rPr>
          <w:rFonts w:eastAsia="Aptos Narrow" w:cs="Aptos Narrow"/>
          <w:lang w:val="en-US"/>
        </w:rPr>
        <w:t xml:space="preserve">Previous iterations of the SAT included requesting data on Capital Expenditure (Capex). DESNZ has </w:t>
      </w:r>
      <w:proofErr w:type="gramStart"/>
      <w:r w:rsidRPr="00CF0142">
        <w:rPr>
          <w:rFonts w:eastAsia="Aptos Narrow" w:cs="Aptos Narrow"/>
          <w:lang w:val="en-US"/>
        </w:rPr>
        <w:t>taken</w:t>
      </w:r>
      <w:proofErr w:type="gramEnd"/>
      <w:r w:rsidRPr="00CF0142">
        <w:rPr>
          <w:rFonts w:eastAsia="Aptos Narrow" w:cs="Aptos Narrow"/>
          <w:lang w:val="en-US"/>
        </w:rPr>
        <w:t xml:space="preserve"> on board feedback from the January workshops and will no longer be requesting that information. Instead, DESNZ will only be requesting estimates </w:t>
      </w:r>
      <w:proofErr w:type="gramStart"/>
      <w:r w:rsidRPr="00CF0142">
        <w:rPr>
          <w:rFonts w:eastAsia="Aptos Narrow" w:cs="Aptos Narrow"/>
          <w:lang w:val="en-US"/>
        </w:rPr>
        <w:t>on</w:t>
      </w:r>
      <w:proofErr w:type="gramEnd"/>
      <w:r w:rsidRPr="00CF0142">
        <w:rPr>
          <w:rFonts w:eastAsia="Aptos Narrow" w:cs="Aptos Narrow"/>
          <w:lang w:val="en-US"/>
        </w:rPr>
        <w:t xml:space="preserve"> payback periods for relevant demand-side and supply-side measures.</w:t>
      </w:r>
    </w:p>
    <w:p w:rsidRPr="0028007B" w:rsidR="0028007B" w:rsidP="59634107" w:rsidRDefault="2D8298DE" w14:paraId="3CC93942" w14:textId="41B26D4B">
      <w:pPr>
        <w:jc w:val="both"/>
        <w:rPr>
          <w:rFonts w:eastAsia="Aptos Narrow" w:cs="Aptos Narrow"/>
        </w:rPr>
      </w:pPr>
      <w:r w:rsidRPr="59634107">
        <w:rPr>
          <w:rFonts w:eastAsia="Aptos Narrow" w:cs="Aptos Narrow"/>
        </w:rPr>
        <w:t>We recognise the sensitivity around the data being submitted for target setting and assessing performance</w:t>
      </w:r>
      <w:r w:rsidRPr="59634107" w:rsidR="30048E28">
        <w:rPr>
          <w:rFonts w:eastAsia="Aptos Narrow" w:cs="Aptos Narrow"/>
        </w:rPr>
        <w:t>. Subject to compliance with the F</w:t>
      </w:r>
      <w:r w:rsidRPr="59634107" w:rsidR="301358BE">
        <w:rPr>
          <w:rFonts w:eastAsia="Aptos Narrow" w:cs="Aptos Narrow"/>
        </w:rPr>
        <w:t xml:space="preserve">reedom of Information Act </w:t>
      </w:r>
      <w:r w:rsidRPr="59634107" w:rsidR="30048E28">
        <w:rPr>
          <w:rFonts w:eastAsia="Aptos Narrow" w:cs="Aptos Narrow"/>
        </w:rPr>
        <w:t xml:space="preserve">2000 </w:t>
      </w:r>
      <w:r w:rsidRPr="59634107" w:rsidR="00730FA1">
        <w:rPr>
          <w:rFonts w:eastAsia="Aptos Narrow" w:cs="Aptos Narrow"/>
        </w:rPr>
        <w:t>(</w:t>
      </w:r>
      <w:r w:rsidRPr="59634107" w:rsidR="6239E9BD">
        <w:rPr>
          <w:rFonts w:eastAsia="Aptos Narrow" w:cs="Aptos Narrow"/>
        </w:rPr>
        <w:t>FOIA</w:t>
      </w:r>
      <w:r w:rsidRPr="59634107" w:rsidR="00730FA1">
        <w:rPr>
          <w:rFonts w:eastAsia="Aptos Narrow" w:cs="Aptos Narrow"/>
        </w:rPr>
        <w:t>)</w:t>
      </w:r>
      <w:r w:rsidRPr="59634107" w:rsidR="6239E9BD">
        <w:rPr>
          <w:rFonts w:eastAsia="Aptos Narrow" w:cs="Aptos Narrow"/>
        </w:rPr>
        <w:t xml:space="preserve"> </w:t>
      </w:r>
      <w:r w:rsidRPr="59634107" w:rsidR="30048E28">
        <w:rPr>
          <w:rFonts w:eastAsia="Aptos Narrow" w:cs="Aptos Narrow"/>
        </w:rPr>
        <w:t>and the Environmental Information Regulations 2004</w:t>
      </w:r>
      <w:r w:rsidRPr="59634107" w:rsidR="330E2D98">
        <w:rPr>
          <w:rFonts w:eastAsia="Aptos Narrow" w:cs="Aptos Narrow"/>
        </w:rPr>
        <w:t xml:space="preserve"> </w:t>
      </w:r>
      <w:r w:rsidRPr="59634107" w:rsidR="0077550A">
        <w:rPr>
          <w:rFonts w:eastAsia="Aptos Narrow" w:cs="Aptos Narrow"/>
        </w:rPr>
        <w:t>(</w:t>
      </w:r>
      <w:r w:rsidRPr="59634107" w:rsidR="330E2D98">
        <w:rPr>
          <w:rFonts w:eastAsia="Aptos Narrow" w:cs="Aptos Narrow"/>
        </w:rPr>
        <w:t>EIRs</w:t>
      </w:r>
      <w:r w:rsidRPr="59634107" w:rsidR="0077550A">
        <w:rPr>
          <w:rFonts w:eastAsia="Aptos Narrow" w:cs="Aptos Narrow"/>
        </w:rPr>
        <w:t>)</w:t>
      </w:r>
      <w:r w:rsidRPr="59634107" w:rsidR="30048E28">
        <w:rPr>
          <w:rFonts w:eastAsia="Aptos Narrow" w:cs="Aptos Narrow"/>
        </w:rPr>
        <w:t>, DESNZ will treat commercially sensitive data on a confidential</w:t>
      </w:r>
      <w:r w:rsidRPr="59634107" w:rsidR="18C5D1CF">
        <w:rPr>
          <w:rFonts w:eastAsia="Aptos Narrow" w:cs="Aptos Narrow"/>
        </w:rPr>
        <w:t xml:space="preserve"> </w:t>
      </w:r>
      <w:r w:rsidRPr="59634107" w:rsidR="50AB9654">
        <w:rPr>
          <w:rFonts w:eastAsia="Aptos Narrow" w:cs="Aptos Narrow"/>
        </w:rPr>
        <w:t>basis</w:t>
      </w:r>
      <w:r w:rsidRPr="59634107" w:rsidR="15E18350">
        <w:rPr>
          <w:rFonts w:eastAsia="Aptos Narrow" w:cs="Aptos Narrow"/>
        </w:rPr>
        <w:t xml:space="preserve"> subject to disclosure to the </w:t>
      </w:r>
      <w:r w:rsidRPr="59634107" w:rsidR="009624EC">
        <w:rPr>
          <w:rFonts w:eastAsia="Aptos Narrow" w:cs="Aptos Narrow"/>
        </w:rPr>
        <w:t xml:space="preserve">EA </w:t>
      </w:r>
      <w:r w:rsidRPr="59634107" w:rsidR="15E18350">
        <w:rPr>
          <w:rFonts w:eastAsia="Aptos Narrow" w:cs="Aptos Narrow"/>
        </w:rPr>
        <w:t>and our technical consultants</w:t>
      </w:r>
      <w:r w:rsidRPr="59634107" w:rsidR="18C5D1CF">
        <w:rPr>
          <w:rFonts w:eastAsia="Aptos Narrow" w:cs="Aptos Narrow"/>
        </w:rPr>
        <w:t>.</w:t>
      </w:r>
      <w:r w:rsidRPr="59634107" w:rsidR="30048E28">
        <w:rPr>
          <w:rFonts w:eastAsia="Aptos Narrow" w:cs="Aptos Narrow"/>
        </w:rPr>
        <w:t xml:space="preserve"> </w:t>
      </w:r>
      <w:r w:rsidRPr="59634107">
        <w:rPr>
          <w:rFonts w:eastAsia="Aptos Narrow" w:cs="Aptos Narrow"/>
        </w:rPr>
        <w:t xml:space="preserve"> </w:t>
      </w:r>
      <w:r w:rsidRPr="59634107" w:rsidR="51DC8ABD">
        <w:rPr>
          <w:rFonts w:eastAsia="Aptos Narrow" w:cs="Aptos Narrow"/>
        </w:rPr>
        <w:t xml:space="preserve">When dealing with any relevant FOIA/EIR request </w:t>
      </w:r>
      <w:r w:rsidRPr="59634107" w:rsidR="3A170DE1">
        <w:rPr>
          <w:rFonts w:eastAsia="Aptos Narrow" w:cs="Aptos Narrow"/>
        </w:rPr>
        <w:t>DESNZ will consider and apply any</w:t>
      </w:r>
      <w:r w:rsidRPr="59634107" w:rsidR="2F379C48">
        <w:rPr>
          <w:rFonts w:eastAsia="Aptos Narrow" w:cs="Aptos Narrow"/>
        </w:rPr>
        <w:t xml:space="preserve"> relevant exemptions under FOIA/EIR</w:t>
      </w:r>
      <w:r w:rsidRPr="59634107" w:rsidR="3A170DE1">
        <w:rPr>
          <w:rFonts w:eastAsia="Aptos Narrow" w:cs="Aptos Narrow"/>
        </w:rPr>
        <w:t xml:space="preserve"> </w:t>
      </w:r>
      <w:r w:rsidRPr="59634107" w:rsidR="7EB8C33E">
        <w:rPr>
          <w:rFonts w:eastAsia="Aptos Narrow" w:cs="Aptos Narrow"/>
        </w:rPr>
        <w:t xml:space="preserve">on a case-by-case basis. </w:t>
      </w:r>
      <w:r w:rsidRPr="59634107">
        <w:rPr>
          <w:rFonts w:eastAsia="Aptos Narrow" w:cs="Aptos Narrow"/>
        </w:rPr>
        <w:t xml:space="preserve"> </w:t>
      </w:r>
      <w:r w:rsidRPr="59634107" w:rsidR="219249BE">
        <w:rPr>
          <w:rFonts w:eastAsia="Aptos Narrow" w:cs="Aptos Narrow"/>
        </w:rPr>
        <w:t>Where appropriate, w</w:t>
      </w:r>
      <w:r w:rsidRPr="59634107">
        <w:rPr>
          <w:rFonts w:eastAsia="Aptos Narrow" w:cs="Aptos Narrow"/>
        </w:rPr>
        <w:t xml:space="preserve">e will consider all options to amalgamate data or redact information </w:t>
      </w:r>
      <w:r w:rsidRPr="59634107" w:rsidR="2BD1C390">
        <w:rPr>
          <w:rFonts w:eastAsia="Aptos Narrow" w:cs="Aptos Narrow"/>
        </w:rPr>
        <w:t xml:space="preserve">to protect commercial confidentiality. </w:t>
      </w:r>
    </w:p>
    <w:p w:rsidRPr="0028007B" w:rsidR="0028007B" w:rsidP="00D732A2" w:rsidRDefault="00AB3B3B" w14:paraId="0EA67EBC" w14:textId="0EB1195F">
      <w:pPr>
        <w:pStyle w:val="Heading3"/>
        <w:spacing w:line="240" w:lineRule="auto"/>
        <w:jc w:val="both"/>
      </w:pPr>
      <w:bookmarkStart w:name="_Toc190181050" w:id="30"/>
      <w:bookmarkStart w:name="_Toc190700717" w:id="31"/>
      <w:r>
        <w:t>E</w:t>
      </w:r>
      <w:r w:rsidR="007803F5">
        <w:t xml:space="preserve">. </w:t>
      </w:r>
      <w:r w:rsidRPr="0028007B" w:rsidR="0028007B">
        <w:t>Target Setting</w:t>
      </w:r>
      <w:bookmarkEnd w:id="30"/>
      <w:bookmarkEnd w:id="31"/>
    </w:p>
    <w:p w:rsidR="007803F5" w:rsidP="00D732A2" w:rsidRDefault="007803F5" w14:paraId="5D8A0D5E" w14:textId="77777777">
      <w:pPr>
        <w:spacing w:after="0" w:line="240" w:lineRule="auto"/>
        <w:ind w:left="720"/>
        <w:jc w:val="both"/>
        <w:rPr>
          <w:b/>
          <w:bCs/>
        </w:rPr>
      </w:pPr>
    </w:p>
    <w:p w:rsidR="007803F5" w:rsidP="00D732A2" w:rsidRDefault="0028007B" w14:paraId="62CD1E58" w14:textId="139680FB">
      <w:pPr>
        <w:pStyle w:val="ListParagraph"/>
        <w:numPr>
          <w:ilvl w:val="0"/>
          <w:numId w:val="6"/>
        </w:numPr>
        <w:jc w:val="both"/>
        <w:rPr>
          <w:rFonts w:eastAsia="Aptos Narrow" w:cs="Aptos Narrow"/>
          <w:b/>
        </w:rPr>
      </w:pPr>
      <w:r w:rsidRPr="59634107">
        <w:rPr>
          <w:rFonts w:eastAsia="Aptos Narrow" w:cs="Aptos Narrow"/>
          <w:b/>
          <w:bCs/>
        </w:rPr>
        <w:t>How should facilities account for external factors (e.g., market conditions, regulatory changes) that might impact energy use during the target-setting period?</w:t>
      </w:r>
    </w:p>
    <w:p w:rsidRPr="0028007B" w:rsidR="007803F5" w:rsidP="00D732A2" w:rsidRDefault="0028007B" w14:paraId="044DBB78" w14:textId="1F42F03C">
      <w:pPr>
        <w:jc w:val="both"/>
        <w:rPr>
          <w:rFonts w:eastAsia="Aptos Narrow" w:cs="Aptos Narrow"/>
          <w:lang w:val="en-US"/>
        </w:rPr>
      </w:pPr>
      <w:r w:rsidRPr="6C22B751">
        <w:rPr>
          <w:rFonts w:eastAsia="Aptos Narrow" w:cs="Aptos Narrow"/>
          <w:lang w:val="en-US"/>
        </w:rPr>
        <w:t xml:space="preserve">DESNZ welcomes additional material from the SA such as market conditions which would </w:t>
      </w:r>
      <w:proofErr w:type="gramStart"/>
      <w:r w:rsidRPr="6C22B751">
        <w:rPr>
          <w:rFonts w:eastAsia="Aptos Narrow" w:cs="Aptos Narrow"/>
          <w:lang w:val="en-US"/>
        </w:rPr>
        <w:t>impacting</w:t>
      </w:r>
      <w:proofErr w:type="gramEnd"/>
      <w:r w:rsidRPr="6C22B751">
        <w:rPr>
          <w:rFonts w:eastAsia="Aptos Narrow" w:cs="Aptos Narrow"/>
          <w:lang w:val="en-US"/>
        </w:rPr>
        <w:t xml:space="preserve"> the base year and/or the period in which performance is assessed. This information can be provided by SAs </w:t>
      </w:r>
      <w:r w:rsidRPr="6C22B751" w:rsidR="6E17C88F">
        <w:rPr>
          <w:rFonts w:eastAsia="Aptos Narrow" w:cs="Aptos Narrow"/>
          <w:lang w:val="en-US"/>
        </w:rPr>
        <w:t xml:space="preserve">in the sample </w:t>
      </w:r>
      <w:r w:rsidRPr="6C22B751" w:rsidR="003D2F7A">
        <w:rPr>
          <w:rFonts w:eastAsia="Aptos Narrow" w:cs="Aptos Narrow"/>
          <w:lang w:val="en-US"/>
        </w:rPr>
        <w:t>proposition</w:t>
      </w:r>
      <w:r w:rsidRPr="6C22B751" w:rsidR="6E17C88F">
        <w:rPr>
          <w:rFonts w:eastAsia="Aptos Narrow" w:cs="Aptos Narrow"/>
          <w:lang w:val="en-US"/>
        </w:rPr>
        <w:t xml:space="preserve"> template</w:t>
      </w:r>
      <w:r w:rsidRPr="6C22B751">
        <w:rPr>
          <w:rFonts w:eastAsia="Aptos Narrow" w:cs="Aptos Narrow"/>
          <w:lang w:val="en-US"/>
        </w:rPr>
        <w:t xml:space="preserve"> alongside the completed SAT submissions.</w:t>
      </w:r>
    </w:p>
    <w:p w:rsidRPr="008330DD" w:rsidR="007B583D" w:rsidP="59634107" w:rsidRDefault="007B583D" w14:paraId="3E71A978" w14:textId="1BBC67E0">
      <w:pPr>
        <w:numPr>
          <w:ilvl w:val="0"/>
          <w:numId w:val="6"/>
        </w:numPr>
        <w:spacing w:line="278" w:lineRule="auto"/>
        <w:jc w:val="both"/>
        <w:rPr>
          <w:b/>
          <w:bCs/>
        </w:rPr>
      </w:pPr>
      <w:r w:rsidRPr="59634107">
        <w:rPr>
          <w:b/>
          <w:bCs/>
        </w:rPr>
        <w:t xml:space="preserve">Do you intend to publish sector (TU) targets?  </w:t>
      </w:r>
    </w:p>
    <w:p w:rsidRPr="008330DD" w:rsidR="007B583D" w:rsidP="00D732A2" w:rsidRDefault="007B583D" w14:paraId="297F3770" w14:textId="77777777">
      <w:pPr>
        <w:spacing w:line="278" w:lineRule="auto"/>
        <w:jc w:val="both"/>
      </w:pPr>
      <w:r w:rsidRPr="008330DD">
        <w:t xml:space="preserve">Sector commitments are set out within the umbrella agreements between the </w:t>
      </w:r>
      <w:r>
        <w:t xml:space="preserve">EA </w:t>
      </w:r>
      <w:r w:rsidRPr="008330DD">
        <w:t xml:space="preserve">and the </w:t>
      </w:r>
      <w:r>
        <w:t>SA</w:t>
      </w:r>
      <w:r w:rsidRPr="008330DD">
        <w:t>. These agreements are published on .GOV.</w:t>
      </w:r>
    </w:p>
    <w:p w:rsidR="007803F5" w:rsidP="00D732A2" w:rsidRDefault="0028007B" w14:paraId="3BB1E4AC" w14:textId="395BAFE8">
      <w:pPr>
        <w:pStyle w:val="ListParagraph"/>
        <w:numPr>
          <w:ilvl w:val="0"/>
          <w:numId w:val="6"/>
        </w:numPr>
        <w:jc w:val="both"/>
      </w:pPr>
      <w:r w:rsidRPr="005D59BC">
        <w:rPr>
          <w:rFonts w:eastAsia="Aptos Narrow" w:cs="Aptos Narrow"/>
          <w:b/>
          <w:bCs/>
        </w:rPr>
        <w:t>Will sectors still have the flexibility to distribute sector target evenly, or will each facility have to have an individual target?</w:t>
      </w:r>
    </w:p>
    <w:p w:rsidRPr="005D59BC" w:rsidR="0028007B" w:rsidP="00D732A2" w:rsidRDefault="0028007B" w14:paraId="4B58DB5A" w14:textId="56B56CB6">
      <w:pPr>
        <w:jc w:val="both"/>
        <w:rPr>
          <w:rFonts w:eastAsia="Aptos Narrow" w:cs="Aptos Narrow"/>
          <w:lang w:val="en-US"/>
        </w:rPr>
      </w:pPr>
      <w:r w:rsidRPr="005D59BC">
        <w:rPr>
          <w:rFonts w:eastAsia="Aptos Narrow" w:cs="Aptos Narrow"/>
          <w:lang w:val="en-US"/>
        </w:rPr>
        <w:t>Sector associations will continue to have the ability to distribute targets within a sector, this could include distributing this evenly across all facilities or adjusting the target in a non-uniform manner.</w:t>
      </w:r>
    </w:p>
    <w:p w:rsidRPr="0028007B" w:rsidR="0028007B" w:rsidP="00D732A2" w:rsidRDefault="00AB3B3B" w14:paraId="2AE3EB88" w14:textId="0D781E3E">
      <w:pPr>
        <w:pStyle w:val="Heading3"/>
        <w:spacing w:line="240" w:lineRule="auto"/>
        <w:jc w:val="both"/>
      </w:pPr>
      <w:bookmarkStart w:name="_Toc190181051" w:id="32"/>
      <w:bookmarkStart w:name="_Toc190700718" w:id="33"/>
      <w:r>
        <w:t>F</w:t>
      </w:r>
      <w:r w:rsidR="007803F5">
        <w:t xml:space="preserve">. </w:t>
      </w:r>
      <w:r w:rsidRPr="0028007B" w:rsidR="0028007B">
        <w:t>SAT Specific</w:t>
      </w:r>
      <w:bookmarkEnd w:id="32"/>
      <w:bookmarkEnd w:id="33"/>
    </w:p>
    <w:p w:rsidR="002043F7" w:rsidP="00D732A2" w:rsidRDefault="002043F7" w14:paraId="0AEA4312" w14:textId="77777777">
      <w:pPr>
        <w:spacing w:after="0" w:line="240" w:lineRule="auto"/>
        <w:jc w:val="both"/>
        <w:rPr>
          <w:b/>
          <w:bCs/>
          <w:i/>
          <w:iCs/>
        </w:rPr>
      </w:pPr>
    </w:p>
    <w:p w:rsidRPr="00E318A5" w:rsidR="002043F7" w:rsidP="00D732A2" w:rsidRDefault="0044752D" w14:paraId="26EB5A15" w14:textId="1E2B6E24">
      <w:pPr>
        <w:pStyle w:val="ListParagraph"/>
        <w:numPr>
          <w:ilvl w:val="0"/>
          <w:numId w:val="6"/>
        </w:numPr>
        <w:jc w:val="both"/>
        <w:rPr>
          <w:rFonts w:eastAsia="Aptos Narrow" w:cs="Aptos Narrow"/>
          <w:b/>
          <w:bCs/>
        </w:rPr>
      </w:pPr>
      <w:r>
        <w:rPr>
          <w:rFonts w:eastAsia="Aptos Narrow" w:cs="Aptos Narrow"/>
          <w:b/>
          <w:bCs/>
        </w:rPr>
        <w:t>Should pre-2022 measures be included</w:t>
      </w:r>
      <w:r w:rsidR="007803FD">
        <w:rPr>
          <w:rFonts w:eastAsia="Aptos Narrow" w:cs="Aptos Narrow"/>
          <w:b/>
          <w:bCs/>
        </w:rPr>
        <w:t xml:space="preserve"> when filling out the SAT</w:t>
      </w:r>
      <w:r>
        <w:rPr>
          <w:rFonts w:eastAsia="Aptos Narrow" w:cs="Aptos Narrow"/>
          <w:b/>
          <w:bCs/>
        </w:rPr>
        <w:t xml:space="preserve">? </w:t>
      </w:r>
    </w:p>
    <w:p w:rsidRPr="007843F1" w:rsidR="002043F7" w:rsidP="00D732A2" w:rsidRDefault="002043F7" w14:paraId="2DEB9CF0" w14:textId="77777777">
      <w:pPr>
        <w:jc w:val="both"/>
        <w:rPr>
          <w:rFonts w:eastAsia="Aptos Narrow" w:cs="Aptos Narrow"/>
          <w:lang w:val="en-US"/>
        </w:rPr>
      </w:pPr>
      <w:r w:rsidRPr="007843F1">
        <w:rPr>
          <w:rFonts w:eastAsia="Aptos Narrow" w:cs="Aptos Narrow"/>
          <w:lang w:val="en-US"/>
        </w:rPr>
        <w:t>Only measures applied after 2022 will be considered as the baseline already includes energy consumed that year. The SAT allows reporting of projects in 2023-24 and 2025 –2030 projects. Please can respondents include measures implemented prior to TP7 (2026) within their SAT return too.</w:t>
      </w:r>
    </w:p>
    <w:p w:rsidRPr="007843F1" w:rsidR="00D63388" w:rsidP="00D732A2" w:rsidRDefault="00D63388" w14:paraId="733C9F43" w14:textId="77777777">
      <w:pPr>
        <w:pStyle w:val="ListParagraph"/>
        <w:numPr>
          <w:ilvl w:val="0"/>
          <w:numId w:val="6"/>
        </w:numPr>
        <w:jc w:val="both"/>
        <w:rPr>
          <w:rFonts w:eastAsia="Aptos Narrow" w:cs="Aptos Narrow"/>
          <w:b/>
          <w:bCs/>
        </w:rPr>
      </w:pPr>
      <w:r w:rsidRPr="007843F1">
        <w:rPr>
          <w:rFonts w:eastAsia="Aptos Narrow" w:cs="Aptos Narrow"/>
          <w:b/>
          <w:bCs/>
        </w:rPr>
        <w:t>What if throughput will increase - it is then possible, albeit unlikely, that energy reductions will be more than 100%?</w:t>
      </w:r>
    </w:p>
    <w:p w:rsidR="00D63388" w:rsidP="00D732A2" w:rsidRDefault="00D63388" w14:paraId="77B6CF6A" w14:textId="77777777">
      <w:pPr>
        <w:jc w:val="both"/>
        <w:rPr>
          <w:rFonts w:eastAsia="Aptos Narrow" w:cs="Aptos Narrow"/>
          <w:lang w:val="en-US"/>
        </w:rPr>
      </w:pPr>
      <w:r w:rsidRPr="007843F1">
        <w:rPr>
          <w:rFonts w:eastAsia="Aptos Narrow" w:cs="Aptos Narrow"/>
          <w:lang w:val="en-US"/>
        </w:rPr>
        <w:t xml:space="preserve">Targets will be relative and will </w:t>
      </w:r>
      <w:proofErr w:type="gramStart"/>
      <w:r w:rsidRPr="007843F1">
        <w:rPr>
          <w:rFonts w:eastAsia="Aptos Narrow" w:cs="Aptos Narrow"/>
          <w:lang w:val="en-US"/>
        </w:rPr>
        <w:t>take into account</w:t>
      </w:r>
      <w:proofErr w:type="gramEnd"/>
      <w:r w:rsidRPr="007843F1">
        <w:rPr>
          <w:rFonts w:eastAsia="Aptos Narrow" w:cs="Aptos Narrow"/>
          <w:lang w:val="en-US"/>
        </w:rPr>
        <w:t xml:space="preserve"> production level changes and production mix changes. Supply-side measures can increase the energy consumption of specific fuels. The latest version of the SAT includes information on production and </w:t>
      </w:r>
      <w:proofErr w:type="gramStart"/>
      <w:r w:rsidRPr="007843F1">
        <w:rPr>
          <w:rFonts w:eastAsia="Aptos Narrow" w:cs="Aptos Narrow"/>
          <w:lang w:val="en-US"/>
        </w:rPr>
        <w:t>products mix</w:t>
      </w:r>
      <w:proofErr w:type="gramEnd"/>
      <w:r w:rsidRPr="007843F1">
        <w:rPr>
          <w:rFonts w:eastAsia="Aptos Narrow" w:cs="Aptos Narrow"/>
          <w:lang w:val="en-US"/>
        </w:rPr>
        <w:t xml:space="preserve"> associated with the baseline which will allow the EA to account for major changes that might allow for increases in energy consumption.</w:t>
      </w:r>
    </w:p>
    <w:p w:rsidRPr="007843F1" w:rsidR="00AF2E98" w:rsidP="00D732A2" w:rsidRDefault="00AF2E98" w14:paraId="566346F2" w14:textId="77777777">
      <w:pPr>
        <w:pStyle w:val="ListParagraph"/>
        <w:numPr>
          <w:ilvl w:val="0"/>
          <w:numId w:val="6"/>
        </w:numPr>
        <w:jc w:val="both"/>
        <w:rPr>
          <w:rFonts w:asciiTheme="minorHAnsi" w:hAnsiTheme="minorHAnsi" w:eastAsiaTheme="minorEastAsia"/>
          <w:b/>
          <w:bCs/>
        </w:rPr>
      </w:pPr>
      <w:r w:rsidRPr="007843F1">
        <w:rPr>
          <w:rFonts w:asciiTheme="minorHAnsi" w:hAnsiTheme="minorHAnsi" w:eastAsiaTheme="minorEastAsia"/>
          <w:b/>
          <w:bCs/>
        </w:rPr>
        <w:t xml:space="preserve">How should we record projects on the SAT sheet if we are unable to quantify their impact (is it possible to have unable to quantify or unknow / not available?) </w:t>
      </w:r>
    </w:p>
    <w:p w:rsidRPr="007843F1" w:rsidR="00AF2E98" w:rsidP="00D732A2" w:rsidRDefault="00AF2E98" w14:paraId="36B53ACF" w14:textId="135E8F8A">
      <w:pPr>
        <w:jc w:val="both"/>
        <w:rPr>
          <w:rFonts w:eastAsia="Aptos Narrow" w:cs="Aptos Narrow"/>
          <w:color w:val="242424"/>
        </w:rPr>
      </w:pPr>
      <w:r w:rsidRPr="007843F1">
        <w:rPr>
          <w:rFonts w:eastAsia="Aptos Narrow" w:cs="Aptos Narrow"/>
          <w:color w:val="242424"/>
        </w:rPr>
        <w:t>If the precise impacts of the measures are unknown use your best estimation of the associated savings.</w:t>
      </w:r>
    </w:p>
    <w:p w:rsidRPr="007843F1" w:rsidR="00BA679E" w:rsidP="00D732A2" w:rsidRDefault="00BA679E" w14:paraId="170A387D" w14:textId="29A11B65">
      <w:pPr>
        <w:pStyle w:val="ListParagraph"/>
        <w:numPr>
          <w:ilvl w:val="0"/>
          <w:numId w:val="6"/>
        </w:numPr>
        <w:jc w:val="both"/>
        <w:rPr>
          <w:rFonts w:asciiTheme="minorHAnsi" w:hAnsiTheme="minorHAnsi" w:eastAsiaTheme="minorEastAsia"/>
          <w:b/>
          <w:bCs/>
        </w:rPr>
      </w:pPr>
      <w:r w:rsidRPr="007843F1">
        <w:rPr>
          <w:rFonts w:asciiTheme="minorHAnsi" w:hAnsiTheme="minorHAnsi" w:eastAsiaTheme="minorEastAsia"/>
          <w:b/>
          <w:bCs/>
        </w:rPr>
        <w:t>UK</w:t>
      </w:r>
      <w:r w:rsidR="000C69CD">
        <w:rPr>
          <w:rFonts w:asciiTheme="minorHAnsi" w:hAnsiTheme="minorHAnsi" w:eastAsiaTheme="minorEastAsia"/>
          <w:b/>
          <w:bCs/>
        </w:rPr>
        <w:t xml:space="preserve"> </w:t>
      </w:r>
      <w:r w:rsidRPr="007843F1">
        <w:rPr>
          <w:rFonts w:asciiTheme="minorHAnsi" w:hAnsiTheme="minorHAnsi" w:eastAsiaTheme="minorEastAsia"/>
          <w:b/>
          <w:bCs/>
        </w:rPr>
        <w:t xml:space="preserve">ETS data: how UKETS data will be accounted for in this process and reporting in the new scheme and double counting avoided? </w:t>
      </w:r>
    </w:p>
    <w:p w:rsidRPr="00CE1EAB" w:rsidR="00BA679E" w:rsidP="00D732A2" w:rsidRDefault="003708A3" w14:paraId="11FA7887" w14:textId="3CC5AB8C">
      <w:pPr>
        <w:jc w:val="both"/>
        <w:rPr>
          <w:rFonts w:eastAsia="Aptos Narrow" w:cs="Aptos Narrow"/>
          <w:color w:val="242424"/>
        </w:rPr>
      </w:pPr>
      <w:r w:rsidRPr="6C22B751">
        <w:rPr>
          <w:rFonts w:eastAsia="Aptos Narrow" w:cs="Aptos Narrow"/>
          <w:color w:val="242424"/>
        </w:rPr>
        <w:t>Information about energy covered by the UK ETS is requested in '2. Base Year Energy Consumption'; however, savings from measures included in 3, 4a, and 4b should only affect non-UK ETS energy.</w:t>
      </w:r>
    </w:p>
    <w:p w:rsidRPr="00C12D09" w:rsidR="00D5466C" w:rsidP="59634107" w:rsidRDefault="00D5466C" w14:paraId="42FD722E" w14:textId="18A5A891">
      <w:pPr>
        <w:pStyle w:val="ListParagraph"/>
        <w:numPr>
          <w:ilvl w:val="0"/>
          <w:numId w:val="6"/>
        </w:numPr>
        <w:jc w:val="both"/>
        <w:rPr>
          <w:rFonts w:asciiTheme="minorHAnsi" w:hAnsiTheme="minorHAnsi" w:eastAsiaTheme="minorEastAsia"/>
          <w:b/>
          <w:bCs/>
        </w:rPr>
      </w:pPr>
      <w:r w:rsidRPr="59634107">
        <w:rPr>
          <w:rFonts w:asciiTheme="minorHAnsi" w:hAnsiTheme="minorHAnsi" w:eastAsiaTheme="minorEastAsia"/>
          <w:b/>
          <w:bCs/>
        </w:rPr>
        <w:t>Does the form allow for additional energy consumption resulting from fuel switching / supply side measures?</w:t>
      </w:r>
    </w:p>
    <w:p w:rsidRPr="00C12D09" w:rsidR="00D5466C" w:rsidP="59634107" w:rsidRDefault="00D5466C" w14:paraId="18286362" w14:textId="0D277F3B">
      <w:pPr>
        <w:jc w:val="both"/>
        <w:rPr>
          <w:rFonts w:eastAsia="Aptos Narrow" w:cs="Aptos Narrow"/>
          <w:color w:val="242424"/>
        </w:rPr>
      </w:pPr>
      <w:r w:rsidRPr="59634107">
        <w:rPr>
          <w:rFonts w:eastAsia="Aptos Narrow" w:cs="Aptos Narrow"/>
          <w:color w:val="242424"/>
        </w:rPr>
        <w:t>Yes. The SAT allows operators to submit supply side measures (including CHP) in addition to demand side measures.</w:t>
      </w:r>
    </w:p>
    <w:p w:rsidRPr="00C12D09" w:rsidR="008B0BA0" w:rsidP="00D732A2" w:rsidRDefault="00177BE1" w14:paraId="6EED39D4" w14:textId="5AC5659E">
      <w:pPr>
        <w:pStyle w:val="ListParagraph"/>
        <w:numPr>
          <w:ilvl w:val="0"/>
          <w:numId w:val="6"/>
        </w:numPr>
        <w:jc w:val="both"/>
        <w:rPr>
          <w:rFonts w:asciiTheme="minorHAnsi" w:hAnsiTheme="minorHAnsi" w:eastAsiaTheme="minorEastAsia"/>
          <w:b/>
          <w:bCs/>
        </w:rPr>
      </w:pPr>
      <w:r w:rsidRPr="6C22B751">
        <w:rPr>
          <w:rFonts w:asciiTheme="minorHAnsi" w:hAnsiTheme="minorHAnsi" w:eastAsiaTheme="minorEastAsia"/>
          <w:b/>
          <w:bCs/>
        </w:rPr>
        <w:t xml:space="preserve">Should </w:t>
      </w:r>
      <w:r w:rsidRPr="00221934" w:rsidR="008B0BA0">
        <w:rPr>
          <w:rFonts w:asciiTheme="minorHAnsi" w:hAnsiTheme="minorHAnsi" w:eastAsiaTheme="minorEastAsia"/>
          <w:b/>
          <w:bCs/>
        </w:rPr>
        <w:t xml:space="preserve">new fuels and energy sources such as hydrogen </w:t>
      </w:r>
      <w:r w:rsidRPr="6C22B751">
        <w:rPr>
          <w:rFonts w:asciiTheme="minorHAnsi" w:hAnsiTheme="minorHAnsi" w:eastAsiaTheme="minorEastAsia"/>
          <w:b/>
          <w:bCs/>
        </w:rPr>
        <w:t xml:space="preserve">be added </w:t>
      </w:r>
      <w:r w:rsidRPr="00221934" w:rsidR="008B0BA0">
        <w:rPr>
          <w:rFonts w:asciiTheme="minorHAnsi" w:hAnsiTheme="minorHAnsi" w:eastAsiaTheme="minorEastAsia"/>
          <w:b/>
          <w:bCs/>
        </w:rPr>
        <w:t>other fuels</w:t>
      </w:r>
      <w:r w:rsidRPr="6C22B751">
        <w:rPr>
          <w:rFonts w:asciiTheme="minorHAnsi" w:hAnsiTheme="minorHAnsi" w:eastAsiaTheme="minorEastAsia"/>
          <w:b/>
          <w:bCs/>
        </w:rPr>
        <w:t xml:space="preserve"> in the SAT</w:t>
      </w:r>
      <w:r w:rsidRPr="6C22B751" w:rsidR="008B0BA0">
        <w:rPr>
          <w:rFonts w:asciiTheme="minorHAnsi" w:hAnsiTheme="minorHAnsi" w:eastAsiaTheme="minorEastAsia"/>
          <w:b/>
          <w:bCs/>
        </w:rPr>
        <w:t>?</w:t>
      </w:r>
    </w:p>
    <w:p w:rsidRPr="00C12D09" w:rsidR="008B0BA0" w:rsidP="59634107" w:rsidRDefault="008B0BA0" w14:paraId="6F228E2C" w14:textId="666B5F09">
      <w:pPr>
        <w:jc w:val="both"/>
        <w:rPr>
          <w:rFonts w:eastAsia="Aptos Narrow" w:cs="Aptos Narrow"/>
          <w:color w:val="242424"/>
        </w:rPr>
      </w:pPr>
      <w:r w:rsidRPr="59634107">
        <w:rPr>
          <w:rFonts w:eastAsia="Aptos Narrow" w:cs="Aptos Narrow"/>
          <w:color w:val="242424"/>
        </w:rPr>
        <w:t xml:space="preserve">Yes, others are not included in the existing list as outlined in tab </w:t>
      </w:r>
      <w:r w:rsidRPr="59634107" w:rsidR="00C30C79">
        <w:rPr>
          <w:rFonts w:eastAsia="Aptos Narrow" w:cs="Aptos Narrow"/>
          <w:color w:val="242424"/>
        </w:rPr>
        <w:t>“</w:t>
      </w:r>
      <w:r w:rsidRPr="59634107" w:rsidR="00586177">
        <w:rPr>
          <w:rFonts w:eastAsia="Aptos Narrow" w:cs="Aptos Narrow"/>
          <w:color w:val="242424"/>
        </w:rPr>
        <w:t>1. Facility Details”</w:t>
      </w:r>
      <w:r w:rsidRPr="59634107" w:rsidR="00177BE1">
        <w:rPr>
          <w:rFonts w:eastAsia="Aptos Narrow" w:cs="Aptos Narrow"/>
          <w:color w:val="242424"/>
        </w:rPr>
        <w:t>, so would need to be added separately by operators</w:t>
      </w:r>
      <w:r w:rsidRPr="59634107" w:rsidR="00586177">
        <w:rPr>
          <w:rFonts w:eastAsia="Aptos Narrow" w:cs="Aptos Narrow"/>
          <w:color w:val="242424"/>
        </w:rPr>
        <w:t>.</w:t>
      </w:r>
    </w:p>
    <w:p w:rsidRPr="00CE1EAB" w:rsidR="00EE6BC1" w:rsidP="59634107" w:rsidRDefault="00EE6BC1" w14:paraId="014B806E" w14:textId="543DA926">
      <w:pPr>
        <w:pStyle w:val="ListParagraph"/>
        <w:numPr>
          <w:ilvl w:val="0"/>
          <w:numId w:val="6"/>
        </w:numPr>
        <w:jc w:val="both"/>
        <w:rPr>
          <w:rFonts w:asciiTheme="minorHAnsi" w:hAnsiTheme="minorHAnsi" w:eastAsiaTheme="minorEastAsia"/>
          <w:b/>
          <w:bCs/>
        </w:rPr>
      </w:pPr>
      <w:r w:rsidRPr="59634107">
        <w:rPr>
          <w:rFonts w:asciiTheme="minorHAnsi" w:hAnsiTheme="minorHAnsi" w:eastAsiaTheme="minorEastAsia"/>
          <w:b/>
          <w:bCs/>
        </w:rPr>
        <w:t xml:space="preserve">For the base year energy, will operators be required to </w:t>
      </w:r>
      <w:r w:rsidRPr="59634107" w:rsidR="009D0C21">
        <w:rPr>
          <w:rFonts w:asciiTheme="minorHAnsi" w:hAnsiTheme="minorHAnsi" w:eastAsiaTheme="minorEastAsia"/>
          <w:b/>
          <w:bCs/>
        </w:rPr>
        <w:t xml:space="preserve">apply different fuel conversion factors to </w:t>
      </w:r>
      <w:r w:rsidRPr="59634107">
        <w:rPr>
          <w:rFonts w:asciiTheme="minorHAnsi" w:hAnsiTheme="minorHAnsi" w:eastAsiaTheme="minorEastAsia"/>
          <w:b/>
          <w:bCs/>
        </w:rPr>
        <w:t>recalculate energy use associated with fuels such as gas oil</w:t>
      </w:r>
      <w:r w:rsidRPr="59634107" w:rsidR="00C61FBA">
        <w:rPr>
          <w:rFonts w:asciiTheme="minorHAnsi" w:hAnsiTheme="minorHAnsi" w:eastAsiaTheme="minorEastAsia"/>
          <w:b/>
          <w:bCs/>
        </w:rPr>
        <w:t>?</w:t>
      </w:r>
      <w:r w:rsidRPr="59634107">
        <w:rPr>
          <w:rFonts w:asciiTheme="minorHAnsi" w:hAnsiTheme="minorHAnsi" w:eastAsiaTheme="minorEastAsia"/>
          <w:b/>
          <w:bCs/>
        </w:rPr>
        <w:t xml:space="preserve"> </w:t>
      </w:r>
    </w:p>
    <w:p w:rsidRPr="00C12D09" w:rsidR="00EE6BC1" w:rsidP="00D732A2" w:rsidRDefault="00C61FBA" w14:paraId="524F6178" w14:textId="6A1CD909">
      <w:pPr>
        <w:jc w:val="both"/>
        <w:rPr>
          <w:rFonts w:eastAsia="Aptos Narrow" w:cs="Aptos Narrow"/>
          <w:color w:val="242424"/>
        </w:rPr>
      </w:pPr>
      <w:r w:rsidRPr="6C22B751">
        <w:rPr>
          <w:rFonts w:eastAsia="Aptos Narrow" w:cs="Aptos Narrow"/>
          <w:color w:val="242424"/>
        </w:rPr>
        <w:t>C</w:t>
      </w:r>
      <w:r w:rsidRPr="6C22B751" w:rsidR="00EE6BC1">
        <w:rPr>
          <w:rFonts w:eastAsia="Aptos Narrow" w:cs="Aptos Narrow"/>
          <w:color w:val="242424"/>
        </w:rPr>
        <w:t>ompanies would not need to recalculate energy use by applying updated energy conversion factors</w:t>
      </w:r>
      <w:r w:rsidRPr="6C22B751">
        <w:rPr>
          <w:rFonts w:eastAsia="Aptos Narrow" w:cs="Aptos Narrow"/>
          <w:color w:val="242424"/>
        </w:rPr>
        <w:t xml:space="preserve"> themselves</w:t>
      </w:r>
      <w:r w:rsidRPr="6C22B751" w:rsidR="00EE6BC1">
        <w:rPr>
          <w:rFonts w:eastAsia="Aptos Narrow" w:cs="Aptos Narrow"/>
          <w:color w:val="242424"/>
        </w:rPr>
        <w:t xml:space="preserve">. </w:t>
      </w:r>
      <w:r w:rsidRPr="6C22B751">
        <w:rPr>
          <w:rFonts w:eastAsia="Aptos Narrow" w:cs="Aptos Narrow"/>
          <w:color w:val="242424"/>
        </w:rPr>
        <w:t xml:space="preserve">Tab “1. Facility Details” have conversion factors </w:t>
      </w:r>
      <w:r w:rsidRPr="6C22B751" w:rsidR="0021345D">
        <w:rPr>
          <w:rFonts w:eastAsia="Aptos Narrow" w:cs="Aptos Narrow"/>
          <w:color w:val="242424"/>
        </w:rPr>
        <w:t>provided for</w:t>
      </w:r>
      <w:r w:rsidRPr="6C22B751" w:rsidR="00C467B0">
        <w:rPr>
          <w:rFonts w:eastAsia="Aptos Narrow" w:cs="Aptos Narrow"/>
          <w:color w:val="242424"/>
        </w:rPr>
        <w:t>.</w:t>
      </w:r>
      <w:r w:rsidRPr="6C22B751" w:rsidR="00EE6BC1">
        <w:rPr>
          <w:rFonts w:eastAsia="Aptos Narrow" w:cs="Aptos Narrow"/>
          <w:color w:val="242424"/>
        </w:rPr>
        <w:t xml:space="preserve"> </w:t>
      </w:r>
    </w:p>
    <w:p w:rsidRPr="002134A4" w:rsidR="002134A4" w:rsidP="59634107" w:rsidRDefault="002134A4" w14:paraId="3B240DA7" w14:textId="7CA21E5A">
      <w:pPr>
        <w:pStyle w:val="ListParagraph"/>
        <w:numPr>
          <w:ilvl w:val="0"/>
          <w:numId w:val="6"/>
        </w:numPr>
        <w:jc w:val="both"/>
        <w:rPr>
          <w:rFonts w:asciiTheme="minorHAnsi" w:hAnsiTheme="minorHAnsi" w:eastAsiaTheme="minorEastAsia"/>
          <w:b/>
          <w:bCs/>
        </w:rPr>
      </w:pPr>
      <w:r w:rsidRPr="59634107">
        <w:rPr>
          <w:rFonts w:asciiTheme="minorHAnsi" w:hAnsiTheme="minorHAnsi" w:eastAsiaTheme="minorEastAsia"/>
          <w:b/>
          <w:bCs/>
        </w:rPr>
        <w:t xml:space="preserve">How </w:t>
      </w:r>
      <w:r w:rsidRPr="59634107" w:rsidR="00E96D6F">
        <w:rPr>
          <w:rFonts w:asciiTheme="minorHAnsi" w:hAnsiTheme="minorHAnsi" w:eastAsiaTheme="minorEastAsia"/>
          <w:b/>
          <w:bCs/>
        </w:rPr>
        <w:t xml:space="preserve">should operators fill in the SAT </w:t>
      </w:r>
      <w:r w:rsidRPr="59634107" w:rsidR="00EC4050">
        <w:rPr>
          <w:rFonts w:asciiTheme="minorHAnsi" w:hAnsiTheme="minorHAnsi" w:eastAsiaTheme="minorEastAsia"/>
          <w:b/>
          <w:bCs/>
        </w:rPr>
        <w:t xml:space="preserve">if the same measure (e.g. </w:t>
      </w:r>
      <w:r w:rsidRPr="59634107" w:rsidR="0098538D">
        <w:rPr>
          <w:rFonts w:asciiTheme="minorHAnsi" w:hAnsiTheme="minorHAnsi" w:eastAsiaTheme="minorEastAsia"/>
          <w:b/>
          <w:bCs/>
        </w:rPr>
        <w:t xml:space="preserve">multiple new VSDs) </w:t>
      </w:r>
      <w:r w:rsidRPr="59634107" w:rsidR="00EC4050">
        <w:rPr>
          <w:rFonts w:asciiTheme="minorHAnsi" w:hAnsiTheme="minorHAnsi" w:eastAsiaTheme="minorEastAsia"/>
          <w:b/>
          <w:bCs/>
        </w:rPr>
        <w:t>impacts different fuels?</w:t>
      </w:r>
    </w:p>
    <w:p w:rsidRPr="00C12D09" w:rsidR="002134A4" w:rsidP="59634107" w:rsidRDefault="0098538D" w14:paraId="1BB069E6" w14:textId="5CB75243">
      <w:pPr>
        <w:jc w:val="both"/>
        <w:rPr>
          <w:rFonts w:asciiTheme="minorHAnsi" w:hAnsiTheme="minorHAnsi" w:eastAsiaTheme="minorEastAsia"/>
          <w:b/>
          <w:bCs/>
        </w:rPr>
      </w:pPr>
      <w:r w:rsidRPr="59634107">
        <w:rPr>
          <w:rFonts w:eastAsia="Aptos Narrow" w:cs="Aptos Narrow"/>
          <w:color w:val="242424"/>
        </w:rPr>
        <w:t xml:space="preserve">Operators should </w:t>
      </w:r>
      <w:r w:rsidRPr="59634107" w:rsidR="00F75DF2">
        <w:rPr>
          <w:rFonts w:eastAsia="Aptos Narrow" w:cs="Aptos Narrow"/>
          <w:color w:val="242424"/>
        </w:rPr>
        <w:t xml:space="preserve">submit one row per measure per fuel </w:t>
      </w:r>
      <w:r w:rsidRPr="59634107" w:rsidR="00217BD7">
        <w:rPr>
          <w:rFonts w:eastAsia="Aptos Narrow" w:cs="Aptos Narrow"/>
          <w:color w:val="242424"/>
        </w:rPr>
        <w:t xml:space="preserve">type that is impacted. </w:t>
      </w:r>
      <w:proofErr w:type="gramStart"/>
      <w:r w:rsidRPr="59634107" w:rsidR="00217BD7">
        <w:rPr>
          <w:rFonts w:eastAsia="Aptos Narrow" w:cs="Aptos Narrow"/>
          <w:color w:val="242424"/>
        </w:rPr>
        <w:t>In the event that</w:t>
      </w:r>
      <w:proofErr w:type="gramEnd"/>
      <w:r w:rsidRPr="59634107" w:rsidR="00217BD7">
        <w:rPr>
          <w:rFonts w:eastAsia="Aptos Narrow" w:cs="Aptos Narrow"/>
          <w:color w:val="242424"/>
        </w:rPr>
        <w:t xml:space="preserve"> a measure impacts multiple fuel types, </w:t>
      </w:r>
      <w:r w:rsidRPr="59634107" w:rsidR="008836F3">
        <w:rPr>
          <w:rFonts w:eastAsia="Aptos Narrow" w:cs="Aptos Narrow"/>
          <w:color w:val="242424"/>
        </w:rPr>
        <w:t xml:space="preserve">operators should submit multiple </w:t>
      </w:r>
      <w:r w:rsidRPr="59634107" w:rsidR="005437E3">
        <w:rPr>
          <w:rFonts w:eastAsia="Aptos Narrow" w:cs="Aptos Narrow"/>
          <w:color w:val="242424"/>
        </w:rPr>
        <w:t>lines</w:t>
      </w:r>
      <w:r w:rsidRPr="59634107" w:rsidR="002134A4">
        <w:rPr>
          <w:rFonts w:eastAsia="Aptos Narrow" w:cs="Aptos Narrow"/>
          <w:color w:val="242424"/>
        </w:rPr>
        <w:t xml:space="preserve">. </w:t>
      </w:r>
    </w:p>
    <w:p w:rsidRPr="00C12D09" w:rsidR="00093F0B" w:rsidP="00D732A2" w:rsidRDefault="13386C8C" w14:paraId="30FDEE09" w14:textId="7F02D939">
      <w:pPr>
        <w:pStyle w:val="ListParagraph"/>
        <w:numPr>
          <w:ilvl w:val="0"/>
          <w:numId w:val="6"/>
        </w:numPr>
        <w:jc w:val="both"/>
        <w:rPr>
          <w:rFonts w:asciiTheme="minorHAnsi" w:hAnsiTheme="minorHAnsi" w:eastAsiaTheme="minorEastAsia"/>
          <w:b/>
          <w:bCs/>
        </w:rPr>
      </w:pPr>
      <w:r w:rsidRPr="54D98802">
        <w:rPr>
          <w:rFonts w:asciiTheme="minorHAnsi" w:hAnsiTheme="minorHAnsi" w:eastAsiaTheme="minorEastAsia"/>
          <w:b/>
          <w:bCs/>
        </w:rPr>
        <w:t xml:space="preserve">What </w:t>
      </w:r>
      <w:r w:rsidR="00144182">
        <w:rPr>
          <w:rFonts w:asciiTheme="minorHAnsi" w:hAnsiTheme="minorHAnsi" w:eastAsiaTheme="minorEastAsia"/>
          <w:b/>
          <w:bCs/>
        </w:rPr>
        <w:t xml:space="preserve">are the updated Primary Electricity Factor and Carbon Emissions Factors </w:t>
      </w:r>
      <w:r w:rsidRPr="54D98802" w:rsidR="14D805BD">
        <w:rPr>
          <w:rFonts w:asciiTheme="minorHAnsi" w:hAnsiTheme="minorHAnsi" w:eastAsiaTheme="minorEastAsia"/>
          <w:b/>
          <w:bCs/>
        </w:rPr>
        <w:t>for the new scheme?</w:t>
      </w:r>
      <w:r w:rsidRPr="54D98802" w:rsidR="00093F0B">
        <w:rPr>
          <w:rFonts w:asciiTheme="minorHAnsi" w:hAnsiTheme="minorHAnsi" w:eastAsiaTheme="minorEastAsia"/>
          <w:b/>
          <w:bCs/>
        </w:rPr>
        <w:t xml:space="preserve"> </w:t>
      </w:r>
    </w:p>
    <w:p w:rsidRPr="007327BB" w:rsidR="00001432" w:rsidP="00D732A2" w:rsidRDefault="00001432" w14:paraId="5925D76E" w14:textId="234E6B51">
      <w:pPr>
        <w:spacing w:line="278" w:lineRule="auto"/>
        <w:jc w:val="both"/>
        <w:rPr>
          <w:rFonts w:eastAsia="Calibri" w:cs="Calibri"/>
        </w:rPr>
      </w:pPr>
      <w:r w:rsidRPr="007327BB">
        <w:rPr>
          <w:rFonts w:eastAsia="Calibri" w:cs="Calibri"/>
        </w:rPr>
        <w:t xml:space="preserve">DESNZ can confirm </w:t>
      </w:r>
      <w:r w:rsidRPr="007327BB">
        <w:rPr>
          <w:rFonts w:eastAsia="Calibri" w:cs="Calibri"/>
          <w:b/>
          <w:bCs/>
        </w:rPr>
        <w:t>the new grid PEF will be 2.1</w:t>
      </w:r>
      <w:r w:rsidRPr="007327BB">
        <w:rPr>
          <w:rFonts w:eastAsia="Calibri" w:cs="Calibri"/>
        </w:rPr>
        <w:t xml:space="preserve"> from 1 January 2026 (TP7) until December 2030 (TP9). This figure uses the primary energy inputs to generate electricity in the UK, after accounting for the losses associated with transmission and distribution (based on DUKES Table 5.3</w:t>
      </w:r>
      <w:r w:rsidRPr="0000448B">
        <w:rPr>
          <w:vertAlign w:val="superscript"/>
        </w:rPr>
        <w:footnoteReference w:id="3"/>
      </w:r>
      <w:r w:rsidRPr="007327BB">
        <w:rPr>
          <w:rFonts w:eastAsia="Calibri" w:cs="Calibri"/>
        </w:rPr>
        <w:t xml:space="preserve"> and Table 5.1</w:t>
      </w:r>
      <w:r w:rsidRPr="0000448B">
        <w:rPr>
          <w:vertAlign w:val="superscript"/>
        </w:rPr>
        <w:footnoteReference w:id="4"/>
      </w:r>
      <w:r w:rsidRPr="007327BB">
        <w:rPr>
          <w:rFonts w:eastAsia="Calibri" w:cs="Calibri"/>
        </w:rPr>
        <w:t xml:space="preserve"> respectively), divided by the electricity generated in the UK (again DUKES Table 5.1).</w:t>
      </w:r>
    </w:p>
    <w:p w:rsidRPr="007327BB" w:rsidR="00001432" w:rsidP="00D732A2" w:rsidRDefault="00001432" w14:paraId="1BC66F9B" w14:textId="40B3F72D">
      <w:pPr>
        <w:spacing w:line="278" w:lineRule="auto"/>
        <w:jc w:val="both"/>
        <w:rPr>
          <w:rFonts w:eastAsia="Calibri" w:cs="Calibri"/>
        </w:rPr>
      </w:pPr>
      <w:r w:rsidRPr="007327BB">
        <w:rPr>
          <w:rFonts w:eastAsia="Calibri" w:cs="Calibri"/>
        </w:rPr>
        <w:t xml:space="preserve">The GR also set out that the PEF for electricity which is consumed on site and generated on site using PV, wind and hydro would be updated to 1.0. Where electricity is generated by a 3rd party using PV, wind and hydro and is supplied to the CCA facility for consumption using a private wire (i.e. not via the local distribution network), then the PEF for this electricity is </w:t>
      </w:r>
      <w:r w:rsidR="0024796D">
        <w:rPr>
          <w:rFonts w:eastAsia="Calibri" w:cs="Calibri"/>
        </w:rPr>
        <w:t xml:space="preserve">also </w:t>
      </w:r>
      <w:r w:rsidRPr="007327BB">
        <w:rPr>
          <w:rFonts w:eastAsia="Calibri" w:cs="Calibri"/>
        </w:rPr>
        <w:t>1.0.</w:t>
      </w:r>
    </w:p>
    <w:p w:rsidRPr="007327BB" w:rsidR="00001432" w:rsidP="59634107" w:rsidRDefault="00001432" w14:paraId="26B43C37" w14:textId="3F45EBA1">
      <w:pPr>
        <w:spacing w:line="278" w:lineRule="auto"/>
        <w:jc w:val="both"/>
        <w:rPr>
          <w:rFonts w:eastAsia="Calibri" w:cs="Calibri"/>
        </w:rPr>
      </w:pPr>
      <w:r w:rsidRPr="59634107">
        <w:rPr>
          <w:rFonts w:eastAsia="Calibri" w:cs="Calibri"/>
        </w:rPr>
        <w:t xml:space="preserve">In the case of electricity generated via the combustion of a fuel (renewable or non-renewable), where this electricity is generated on-site, or is generated offsite and supplied to the CCA facility for consumption via a private wire, then the efficiency of the electricity generating plant is used to calculate the PEF. Where the electricity generator is a CHP, then the CHP algorithm is to be used to calculate the units of primary energy associated with the CHP generated electricity and heat that is consumed by the CCA facility. </w:t>
      </w:r>
      <w:r w:rsidRPr="59634107" w:rsidR="0039747C">
        <w:t xml:space="preserve"> </w:t>
      </w:r>
      <w:r w:rsidRPr="59634107" w:rsidR="0039747C">
        <w:rPr>
          <w:rFonts w:eastAsia="Calibri" w:cs="Calibri"/>
        </w:rPr>
        <w:t>If CHP is already in use in the base year (2022), the associated PEF value should be included in Facility Details tab, table D.</w:t>
      </w:r>
    </w:p>
    <w:p w:rsidR="00093F0B" w:rsidP="00D732A2" w:rsidRDefault="00093F0B" w14:paraId="18A19E52" w14:textId="046FA7AA">
      <w:pPr>
        <w:jc w:val="both"/>
        <w:rPr>
          <w:rFonts w:eastAsia="Aptos Narrow" w:cs="Aptos Narrow"/>
          <w:color w:val="242424"/>
        </w:rPr>
      </w:pPr>
      <w:r w:rsidRPr="54D98802">
        <w:rPr>
          <w:rFonts w:eastAsia="Aptos Narrow" w:cs="Aptos Narrow"/>
          <w:color w:val="242424"/>
        </w:rPr>
        <w:t>Moreover, the Carbon Emissions Factors (CEFs) for the upcoming phase of the CCA scheme have been confirmed as follows:</w:t>
      </w:r>
    </w:p>
    <w:p w:rsidR="00093F0B" w:rsidP="59634107" w:rsidRDefault="00093F0B" w14:paraId="49DB1957" w14:textId="77777777">
      <w:pPr>
        <w:numPr>
          <w:ilvl w:val="1"/>
          <w:numId w:val="1"/>
        </w:numPr>
        <w:jc w:val="both"/>
        <w:rPr>
          <w:rFonts w:eastAsia="Calibri" w:cs="Calibri"/>
        </w:rPr>
      </w:pPr>
      <w:r w:rsidRPr="59634107">
        <w:rPr>
          <w:rFonts w:eastAsia="Calibri" w:cs="Calibri"/>
        </w:rPr>
        <w:t xml:space="preserve">For </w:t>
      </w:r>
      <w:proofErr w:type="gramStart"/>
      <w:r w:rsidRPr="59634107">
        <w:rPr>
          <w:rFonts w:eastAsia="Calibri" w:cs="Calibri"/>
        </w:rPr>
        <w:t>the majority of</w:t>
      </w:r>
      <w:proofErr w:type="gramEnd"/>
      <w:r w:rsidRPr="59634107">
        <w:rPr>
          <w:rFonts w:eastAsia="Calibri" w:cs="Calibri"/>
        </w:rPr>
        <w:t xml:space="preserve"> fuel types, this is based on the update to the Greenhouse Gas Reporting Conversion Factors</w:t>
      </w:r>
      <w:r w:rsidRPr="59634107">
        <w:rPr>
          <w:rStyle w:val="FootnoteReference"/>
          <w:rFonts w:eastAsia="Calibri" w:cs="Calibri"/>
        </w:rPr>
        <w:footnoteReference w:id="5"/>
      </w:r>
      <w:r w:rsidRPr="59634107">
        <w:rPr>
          <w:rFonts w:eastAsia="Calibri" w:cs="Calibri"/>
        </w:rPr>
        <w:t>, with Coke and Ethane unchanged from fuel conversion factors in CCA10 for the old CCA scheme and scheme extensions</w:t>
      </w:r>
      <w:r w:rsidRPr="59634107">
        <w:rPr>
          <w:rStyle w:val="FootnoteReference"/>
          <w:rFonts w:eastAsia="Calibri" w:cs="Calibri"/>
        </w:rPr>
        <w:footnoteReference w:id="6"/>
      </w:r>
      <w:r w:rsidRPr="59634107">
        <w:rPr>
          <w:rFonts w:eastAsia="Calibri" w:cs="Calibri"/>
        </w:rPr>
        <w:t>.</w:t>
      </w:r>
    </w:p>
    <w:p w:rsidR="00093F0B" w:rsidP="00D732A2" w:rsidRDefault="00093F0B" w14:paraId="5399B16F" w14:textId="28737BA3">
      <w:pPr>
        <w:numPr>
          <w:ilvl w:val="1"/>
          <w:numId w:val="1"/>
        </w:numPr>
        <w:jc w:val="both"/>
        <w:rPr>
          <w:rFonts w:eastAsia="Calibri" w:cs="Calibri"/>
        </w:rPr>
      </w:pPr>
      <w:r w:rsidRPr="00C12D09">
        <w:rPr>
          <w:rFonts w:eastAsia="Calibri" w:cs="Calibri"/>
        </w:rPr>
        <w:t>The CEF for grid electricity will factor in the updated PEF (see above) alongside the CO</w:t>
      </w:r>
      <w:r w:rsidRPr="008356D1">
        <w:rPr>
          <w:rFonts w:eastAsia="Calibri" w:cs="Calibri"/>
          <w:vertAlign w:val="subscript"/>
        </w:rPr>
        <w:t>2</w:t>
      </w:r>
      <w:r w:rsidRPr="00C12D09">
        <w:rPr>
          <w:rFonts w:eastAsia="Calibri" w:cs="Calibri"/>
        </w:rPr>
        <w:t xml:space="preserve"> intensity of this electricity generated in the UK and subtracting the losses incurred during transmission and distribution </w:t>
      </w:r>
      <w:r>
        <w:rPr>
          <w:rStyle w:val="FootnoteReference"/>
          <w:rFonts w:eastAsia="Calibri" w:cs="Calibri"/>
        </w:rPr>
        <w:footnoteReference w:id="7"/>
      </w:r>
      <w:r w:rsidRPr="00C12D09">
        <w:rPr>
          <w:rFonts w:eastAsia="Calibri" w:cs="Calibri"/>
        </w:rPr>
        <w:t xml:space="preserve">. </w:t>
      </w:r>
      <w:r w:rsidR="00811748">
        <w:rPr>
          <w:rFonts w:eastAsia="Calibri" w:cs="Calibri"/>
        </w:rPr>
        <w:t>Electricity from combustion of a renewable fuel will be also included within this group.</w:t>
      </w:r>
    </w:p>
    <w:p w:rsidR="00221934" w:rsidP="59634107" w:rsidRDefault="00093F0B" w14:paraId="06C5F5AE" w14:textId="6466287B">
      <w:pPr>
        <w:numPr>
          <w:ilvl w:val="1"/>
          <w:numId w:val="1"/>
        </w:numPr>
        <w:jc w:val="both"/>
        <w:rPr>
          <w:rFonts w:eastAsia="Calibri" w:cs="Calibri"/>
        </w:rPr>
      </w:pPr>
      <w:r w:rsidRPr="59634107">
        <w:rPr>
          <w:rFonts w:eastAsia="Calibri" w:cs="Calibri"/>
        </w:rPr>
        <w:t>As outlined in the Government Response, non-grid renewable electricity generated on-site (e.g. PV, wind or hydro) will have a PEF of 1.0 and subsequently a CEF of 0 tCO</w:t>
      </w:r>
      <w:r w:rsidRPr="008356D1">
        <w:rPr>
          <w:rFonts w:eastAsia="Calibri" w:cs="Calibri"/>
          <w:vertAlign w:val="subscript"/>
        </w:rPr>
        <w:t>2</w:t>
      </w:r>
      <w:r w:rsidRPr="59634107">
        <w:rPr>
          <w:rFonts w:eastAsia="Calibri" w:cs="Calibri"/>
        </w:rPr>
        <w:t>e/kWh.</w:t>
      </w:r>
    </w:p>
    <w:p w:rsidR="00093F0B" w:rsidP="00D732A2" w:rsidRDefault="00A044BE" w14:paraId="468612E0" w14:textId="22247683">
      <w:pPr>
        <w:numPr>
          <w:ilvl w:val="1"/>
          <w:numId w:val="1"/>
        </w:numPr>
        <w:jc w:val="both"/>
        <w:rPr>
          <w:rFonts w:eastAsia="Calibri" w:cs="Calibri"/>
        </w:rPr>
      </w:pPr>
      <w:r w:rsidRPr="72517474">
        <w:rPr>
          <w:rFonts w:eastAsia="Calibri" w:cs="Calibri"/>
        </w:rPr>
        <w:t>F</w:t>
      </w:r>
      <w:r w:rsidRPr="72517474" w:rsidR="00093F0B">
        <w:rPr>
          <w:rFonts w:eastAsia="Calibri" w:cs="Calibri"/>
        </w:rPr>
        <w:t xml:space="preserve">or non-grid electricity </w:t>
      </w:r>
      <w:r w:rsidRPr="72517474" w:rsidR="0059051F">
        <w:rPr>
          <w:rFonts w:eastAsia="Calibri" w:cs="Calibri"/>
        </w:rPr>
        <w:t xml:space="preserve">from combustion </w:t>
      </w:r>
      <w:r w:rsidRPr="72517474" w:rsidR="0045050C">
        <w:rPr>
          <w:rFonts w:eastAsia="Calibri" w:cs="Calibri"/>
        </w:rPr>
        <w:t>of a non-renewable</w:t>
      </w:r>
      <w:r w:rsidRPr="72517474" w:rsidR="00D61E2F">
        <w:rPr>
          <w:rFonts w:eastAsia="Calibri" w:cs="Calibri"/>
        </w:rPr>
        <w:t xml:space="preserve"> fuel</w:t>
      </w:r>
      <w:r w:rsidRPr="72517474" w:rsidR="00093F0B">
        <w:rPr>
          <w:rFonts w:eastAsia="Calibri" w:cs="Calibri"/>
        </w:rPr>
        <w:t xml:space="preserve"> (e.g. Combined Heat and Power (CHP</w:t>
      </w:r>
      <w:proofErr w:type="gramStart"/>
      <w:r w:rsidRPr="72517474" w:rsidR="00093F0B">
        <w:rPr>
          <w:rFonts w:eastAsia="Calibri" w:cs="Calibri"/>
        </w:rPr>
        <w:t>))  the</w:t>
      </w:r>
      <w:proofErr w:type="gramEnd"/>
      <w:r w:rsidRPr="72517474" w:rsidR="00093F0B">
        <w:rPr>
          <w:rFonts w:eastAsia="Calibri" w:cs="Calibri"/>
        </w:rPr>
        <w:t xml:space="preserve"> carbon emissions factor for </w:t>
      </w:r>
      <w:r w:rsidRPr="72517474" w:rsidR="067AE581">
        <w:rPr>
          <w:rFonts w:eastAsia="Calibri" w:cs="Calibri"/>
        </w:rPr>
        <w:t xml:space="preserve">the </w:t>
      </w:r>
      <w:r w:rsidRPr="72517474" w:rsidR="00093F0B">
        <w:rPr>
          <w:rFonts w:eastAsia="Calibri" w:cs="Calibri"/>
        </w:rPr>
        <w:t>fuel</w:t>
      </w:r>
      <w:r w:rsidRPr="72517474" w:rsidR="2A35231D">
        <w:rPr>
          <w:rFonts w:eastAsia="Calibri" w:cs="Calibri"/>
        </w:rPr>
        <w:t xml:space="preserve"> used to generate the electricity</w:t>
      </w:r>
      <w:r w:rsidRPr="72517474" w:rsidR="00406A0B">
        <w:rPr>
          <w:rFonts w:eastAsia="Calibri" w:cs="Calibri"/>
        </w:rPr>
        <w:t xml:space="preserve"> </w:t>
      </w:r>
      <w:r w:rsidRPr="72517474" w:rsidR="581DF89F">
        <w:rPr>
          <w:rFonts w:eastAsia="Calibri" w:cs="Calibri"/>
        </w:rPr>
        <w:t>should apply</w:t>
      </w:r>
      <w:r w:rsidRPr="72517474" w:rsidR="1B317906">
        <w:rPr>
          <w:rFonts w:eastAsia="Calibri" w:cs="Calibri"/>
        </w:rPr>
        <w:t>.</w:t>
      </w:r>
      <w:r w:rsidRPr="72517474" w:rsidR="581DF89F">
        <w:rPr>
          <w:rFonts w:eastAsia="Calibri" w:cs="Calibri"/>
        </w:rPr>
        <w:t xml:space="preserve"> </w:t>
      </w:r>
      <w:r w:rsidRPr="72517474" w:rsidR="00406A0B">
        <w:rPr>
          <w:rFonts w:eastAsia="Calibri" w:cs="Calibri"/>
        </w:rPr>
        <w:t xml:space="preserve">Please, complete this information in </w:t>
      </w:r>
      <w:r w:rsidRPr="72517474" w:rsidR="00AD2048">
        <w:rPr>
          <w:rFonts w:eastAsia="Calibri" w:cs="Calibri"/>
        </w:rPr>
        <w:t>the ‘Base Year Energy Consumption’ tab.</w:t>
      </w:r>
    </w:p>
    <w:p w:rsidRPr="007327BB" w:rsidR="001A73D7" w:rsidP="00D732A2" w:rsidRDefault="001A73D7" w14:paraId="7D730A7D" w14:textId="0CC0128B">
      <w:pPr>
        <w:spacing w:line="278" w:lineRule="auto"/>
        <w:jc w:val="both"/>
        <w:rPr>
          <w:rFonts w:eastAsia="Calibri" w:cs="Calibri"/>
        </w:rPr>
      </w:pPr>
      <w:r w:rsidRPr="007327BB">
        <w:rPr>
          <w:rFonts w:eastAsia="Calibri" w:cs="Calibri"/>
        </w:rPr>
        <w:t>To be consistent with baseline energy year and CEFs data</w:t>
      </w:r>
      <w:r w:rsidR="007327BB">
        <w:rPr>
          <w:rFonts w:eastAsia="Calibri" w:cs="Calibri"/>
        </w:rPr>
        <w:t xml:space="preserve">, </w:t>
      </w:r>
      <w:r w:rsidRPr="007327BB">
        <w:rPr>
          <w:rFonts w:eastAsia="Calibri" w:cs="Calibri"/>
        </w:rPr>
        <w:t xml:space="preserve">the updated PEFs are based on 2022 </w:t>
      </w:r>
      <w:r w:rsidR="007327BB">
        <w:rPr>
          <w:rFonts w:eastAsia="Calibri" w:cs="Calibri"/>
        </w:rPr>
        <w:t xml:space="preserve">DUKES </w:t>
      </w:r>
      <w:r w:rsidRPr="007327BB">
        <w:rPr>
          <w:rFonts w:eastAsia="Calibri" w:cs="Calibri"/>
        </w:rPr>
        <w:t>data.</w:t>
      </w:r>
    </w:p>
    <w:p w:rsidRPr="00221934" w:rsidR="001A73D7" w:rsidP="007327BB" w:rsidRDefault="001A73D7" w14:paraId="599A1F7C" w14:textId="77777777">
      <w:pPr>
        <w:rPr>
          <w:rFonts w:eastAsia="Calibri" w:cs="Calibri"/>
        </w:rPr>
      </w:pPr>
    </w:p>
    <w:p w:rsidRPr="00202DE3" w:rsidR="007A2113" w:rsidP="00221934" w:rsidRDefault="007A2113" w14:paraId="5D5E6739" w14:textId="5EC62CCF">
      <w:pPr>
        <w:spacing w:after="0" w:line="240" w:lineRule="auto"/>
        <w:ind w:left="720"/>
        <w:rPr>
          <w:b/>
          <w:bCs/>
          <w:i/>
          <w:iCs/>
        </w:rPr>
      </w:pPr>
    </w:p>
    <w:sectPr w:rsidRPr="00202DE3" w:rsidR="007A2113">
      <w:headerReference w:type="even" r:id="rId26"/>
      <w:headerReference w:type="default" r:id="rId27"/>
      <w:footerReference w:type="even" r:id="rId28"/>
      <w:footerReference w:type="default" r:id="rId29"/>
      <w:headerReference w:type="first" r:id="rId30"/>
      <w:footerReference w:type="first" r:id="rId3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A78D2" w:rsidP="00705A3D" w:rsidRDefault="003A78D2" w14:paraId="0E30A7E7" w14:textId="77777777">
      <w:pPr>
        <w:spacing w:after="0" w:line="240" w:lineRule="auto"/>
      </w:pPr>
      <w:r>
        <w:separator/>
      </w:r>
    </w:p>
  </w:endnote>
  <w:endnote w:type="continuationSeparator" w:id="0">
    <w:p w:rsidR="003A78D2" w:rsidP="00705A3D" w:rsidRDefault="003A78D2" w14:paraId="2888CF1C" w14:textId="77777777">
      <w:pPr>
        <w:spacing w:after="0" w:line="240" w:lineRule="auto"/>
      </w:pPr>
      <w:r>
        <w:continuationSeparator/>
      </w:r>
    </w:p>
  </w:endnote>
  <w:endnote w:type="continuationNotice" w:id="1">
    <w:p w:rsidR="003A78D2" w:rsidRDefault="003A78D2" w14:paraId="38DD5A7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12AB1" w:rsidRDefault="0008607C" w14:paraId="0BFC734B" w14:textId="723B819F">
    <w:pPr>
      <w:pStyle w:val="DESNZDate"/>
    </w:pPr>
    <w:r>
      <w:t>February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C26D9C" w:rsidR="00012AB1" w:rsidRDefault="00012AB1" w14:paraId="6E2342F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1152676524"/>
      <w:docPartObj>
        <w:docPartGallery w:val="Page Numbers (Bottom of Page)"/>
        <w:docPartUnique/>
      </w:docPartObj>
    </w:sdtPr>
    <w:sdtContent>
      <w:p w:rsidRPr="00483BA0" w:rsidR="00012AB1" w:rsidRDefault="00012AB1" w14:paraId="6D045F11" w14:textId="77777777">
        <w:pPr>
          <w:pStyle w:val="Footer"/>
          <w:spacing w:after="240"/>
          <w:jc w:val="right"/>
          <w:rPr>
            <w:sz w:val="22"/>
          </w:rPr>
        </w:pPr>
        <w:r w:rsidRPr="00483BA0">
          <w:rPr>
            <w:sz w:val="22"/>
          </w:rPr>
          <w:fldChar w:fldCharType="begin"/>
        </w:r>
        <w:r w:rsidRPr="00483BA0">
          <w:rPr>
            <w:sz w:val="22"/>
          </w:rPr>
          <w:instrText xml:space="preserve"> PAGE   \* MERGEFORMAT </w:instrText>
        </w:r>
        <w:r w:rsidRPr="00483BA0">
          <w:rPr>
            <w:sz w:val="22"/>
          </w:rPr>
          <w:fldChar w:fldCharType="separate"/>
        </w:r>
        <w:r w:rsidRPr="00483BA0">
          <w:rPr>
            <w:noProof/>
            <w:sz w:val="22"/>
          </w:rPr>
          <w:t>2</w:t>
        </w:r>
        <w:r w:rsidRPr="00483BA0">
          <w:rPr>
            <w:noProof/>
            <w:sz w:val="22"/>
          </w:rPr>
          <w:fldChar w:fldCharType="end"/>
        </w:r>
      </w:p>
    </w:sdtContent>
    <w:sdtEndPr>
      <w:rPr>
        <w:sz w:val="22"/>
        <w:szCs w:val="22"/>
      </w:rPr>
    </w:sdtEndPr>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3C3148" w:rsidRDefault="003C3148" w14:paraId="27C421C9" w14:textId="448F3E79">
    <w:pPr>
      <w:pStyle w:val="Footer"/>
    </w:pPr>
    <w:r>
      <w:rPr>
        <w:noProof/>
        <w14:ligatures w14:val="standardContextual"/>
      </w:rPr>
      <mc:AlternateContent>
        <mc:Choice Requires="wps">
          <w:drawing>
            <wp:anchor distT="0" distB="0" distL="0" distR="0" simplePos="0" relativeHeight="251658244" behindDoc="0" locked="0" layoutInCell="1" allowOverlap="1" wp14:anchorId="465C77E8" wp14:editId="366F46D9">
              <wp:simplePos x="635" y="635"/>
              <wp:positionH relativeFrom="page">
                <wp:align>center</wp:align>
              </wp:positionH>
              <wp:positionV relativeFrom="page">
                <wp:align>bottom</wp:align>
              </wp:positionV>
              <wp:extent cx="459740" cy="370840"/>
              <wp:effectExtent l="0" t="0" r="16510" b="0"/>
              <wp:wrapNone/>
              <wp:docPr id="183302565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70840"/>
                      </a:xfrm>
                      <a:prstGeom prst="rect">
                        <a:avLst/>
                      </a:prstGeom>
                      <a:noFill/>
                      <a:ln>
                        <a:noFill/>
                      </a:ln>
                    </wps:spPr>
                    <wps:txbx>
                      <w:txbxContent>
                        <w:p w:rsidRPr="003C3148" w:rsidR="003C3148" w:rsidP="003C3148" w:rsidRDefault="003C3148" w14:paraId="532DC9D2" w14:textId="1EA44D8A">
                          <w:pPr>
                            <w:spacing w:after="0"/>
                            <w:rPr>
                              <w:rFonts w:ascii="Calibri" w:hAnsi="Calibri" w:eastAsia="Calibri" w:cs="Calibri"/>
                              <w:noProof/>
                              <w:color w:val="000000"/>
                              <w:sz w:val="20"/>
                              <w:szCs w:val="20"/>
                            </w:rPr>
                          </w:pPr>
                          <w:r w:rsidRPr="003C3148">
                            <w:rPr>
                              <w:rFonts w:ascii="Calibri" w:hAnsi="Calibri" w:eastAsia="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465C77E8">
              <v:stroke joinstyle="miter"/>
              <v:path gradientshapeok="t" o:connecttype="rect"/>
            </v:shapetype>
            <v:shape id="Text Box 5" style="position:absolute;margin-left:0;margin-top:0;width:36.2pt;height:29.2pt;z-index:251658244;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">
              <v:textbox style="mso-fit-shape-to-text:t" inset="0,0,0,15pt">
                <w:txbxContent>
                  <w:p w:rsidRPr="003C3148" w:rsidR="003C3148" w:rsidP="003C3148" w:rsidRDefault="003C3148" w14:paraId="532DC9D2" w14:textId="1EA44D8A">
                    <w:pPr>
                      <w:spacing w:after="0"/>
                      <w:rPr>
                        <w:rFonts w:ascii="Calibri" w:hAnsi="Calibri" w:eastAsia="Calibri" w:cs="Calibri"/>
                        <w:noProof/>
                        <w:color w:val="000000"/>
                        <w:sz w:val="20"/>
                        <w:szCs w:val="20"/>
                      </w:rPr>
                    </w:pPr>
                    <w:r w:rsidRPr="003C3148">
                      <w:rPr>
                        <w:rFonts w:ascii="Calibri" w:hAnsi="Calibri" w:eastAsia="Calibri" w:cs="Calibri"/>
                        <w:noProof/>
                        <w:color w:val="000000"/>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3C3148" w:rsidRDefault="003C3148" w14:paraId="7AE9F926" w14:textId="547C55D6">
    <w:pPr>
      <w:pStyle w:val="Footer"/>
    </w:pPr>
    <w:r>
      <w:rPr>
        <w:noProof/>
        <w14:ligatures w14:val="standardContextual"/>
      </w:rPr>
      <mc:AlternateContent>
        <mc:Choice Requires="wps">
          <w:drawing>
            <wp:anchor distT="0" distB="0" distL="0" distR="0" simplePos="0" relativeHeight="251658245" behindDoc="0" locked="0" layoutInCell="1" allowOverlap="1" wp14:anchorId="40F5DB58" wp14:editId="5BD1AC2E">
              <wp:simplePos x="914400" y="10058400"/>
              <wp:positionH relativeFrom="page">
                <wp:align>center</wp:align>
              </wp:positionH>
              <wp:positionV relativeFrom="page">
                <wp:align>bottom</wp:align>
              </wp:positionV>
              <wp:extent cx="459740" cy="370840"/>
              <wp:effectExtent l="0" t="0" r="16510" b="0"/>
              <wp:wrapNone/>
              <wp:docPr id="109270866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70840"/>
                      </a:xfrm>
                      <a:prstGeom prst="rect">
                        <a:avLst/>
                      </a:prstGeom>
                      <a:noFill/>
                      <a:ln>
                        <a:noFill/>
                      </a:ln>
                    </wps:spPr>
                    <wps:txbx>
                      <w:txbxContent>
                        <w:p w:rsidRPr="003C3148" w:rsidR="003C3148" w:rsidP="003C3148" w:rsidRDefault="003C3148" w14:paraId="47575A75" w14:textId="7D360308">
                          <w:pPr>
                            <w:spacing w:after="0"/>
                            <w:rPr>
                              <w:rFonts w:ascii="Calibri" w:hAnsi="Calibri" w:eastAsia="Calibri" w:cs="Calibri"/>
                              <w:noProof/>
                              <w:color w:val="000000"/>
                              <w:sz w:val="20"/>
                              <w:szCs w:val="20"/>
                            </w:rPr>
                          </w:pPr>
                          <w:r w:rsidRPr="003C3148">
                            <w:rPr>
                              <w:rFonts w:ascii="Calibri" w:hAnsi="Calibri" w:eastAsia="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40F5DB58">
              <v:stroke joinstyle="miter"/>
              <v:path gradientshapeok="t" o:connecttype="rect"/>
            </v:shapetype>
            <v:shape id="Text Box 6" style="position:absolute;margin-left:0;margin-top:0;width:36.2pt;height:29.2pt;z-index:251658245;visibility:visible;mso-wrap-style:none;mso-wrap-distance-left:0;mso-wrap-distance-top:0;mso-wrap-distance-right:0;mso-wrap-distance-bottom:0;mso-position-horizontal:center;mso-position-horizontal-relative:page;mso-position-vertical:bottom;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">
              <v:textbox style="mso-fit-shape-to-text:t" inset="0,0,0,15pt">
                <w:txbxContent>
                  <w:p w:rsidRPr="003C3148" w:rsidR="003C3148" w:rsidP="003C3148" w:rsidRDefault="003C3148" w14:paraId="47575A75" w14:textId="7D360308">
                    <w:pPr>
                      <w:spacing w:after="0"/>
                      <w:rPr>
                        <w:rFonts w:ascii="Calibri" w:hAnsi="Calibri" w:eastAsia="Calibri" w:cs="Calibri"/>
                        <w:noProof/>
                        <w:color w:val="000000"/>
                        <w:sz w:val="20"/>
                        <w:szCs w:val="20"/>
                      </w:rPr>
                    </w:pPr>
                    <w:r w:rsidRPr="003C3148">
                      <w:rPr>
                        <w:rFonts w:ascii="Calibri" w:hAnsi="Calibri" w:eastAsia="Calibri" w:cs="Calibri"/>
                        <w:noProof/>
                        <w:color w:val="000000"/>
                        <w:sz w:val="20"/>
                        <w:szCs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3C3148" w:rsidRDefault="003C3148" w14:paraId="4E75E672" w14:textId="3AD91FFA">
    <w:pPr>
      <w:pStyle w:val="Footer"/>
    </w:pPr>
    <w:r>
      <w:rPr>
        <w:noProof/>
        <w14:ligatures w14:val="standardContextual"/>
      </w:rPr>
      <mc:AlternateContent>
        <mc:Choice Requires="wps">
          <w:drawing>
            <wp:anchor distT="0" distB="0" distL="0" distR="0" simplePos="0" relativeHeight="251658243" behindDoc="0" locked="0" layoutInCell="1" allowOverlap="1" wp14:anchorId="36AC8E6A" wp14:editId="1B72B2F1">
              <wp:simplePos x="635" y="635"/>
              <wp:positionH relativeFrom="page">
                <wp:align>center</wp:align>
              </wp:positionH>
              <wp:positionV relativeFrom="page">
                <wp:align>bottom</wp:align>
              </wp:positionV>
              <wp:extent cx="459740" cy="370840"/>
              <wp:effectExtent l="0" t="0" r="16510" b="0"/>
              <wp:wrapNone/>
              <wp:docPr id="163043351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70840"/>
                      </a:xfrm>
                      <a:prstGeom prst="rect">
                        <a:avLst/>
                      </a:prstGeom>
                      <a:noFill/>
                      <a:ln>
                        <a:noFill/>
                      </a:ln>
                    </wps:spPr>
                    <wps:txbx>
                      <w:txbxContent>
                        <w:p w:rsidRPr="003C3148" w:rsidR="003C3148" w:rsidP="003C3148" w:rsidRDefault="003C3148" w14:paraId="745537B4" w14:textId="0446F6FF">
                          <w:pPr>
                            <w:spacing w:after="0"/>
                            <w:rPr>
                              <w:rFonts w:ascii="Calibri" w:hAnsi="Calibri" w:eastAsia="Calibri" w:cs="Calibri"/>
                              <w:noProof/>
                              <w:color w:val="000000"/>
                              <w:sz w:val="20"/>
                              <w:szCs w:val="20"/>
                            </w:rPr>
                          </w:pPr>
                          <w:r w:rsidRPr="003C3148">
                            <w:rPr>
                              <w:rFonts w:ascii="Calibri" w:hAnsi="Calibri" w:eastAsia="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6AC8E6A">
              <v:stroke joinstyle="miter"/>
              <v:path gradientshapeok="t" o:connecttype="rect"/>
            </v:shapetype>
            <v:shape id="Text Box 4" style="position:absolute;margin-left:0;margin-top:0;width:36.2pt;height:29.2pt;z-index:251658243;visibility:visible;mso-wrap-style:none;mso-wrap-distance-left:0;mso-wrap-distance-top:0;mso-wrap-distance-right:0;mso-wrap-distance-bottom:0;mso-position-horizontal:center;mso-position-horizontal-relative:page;mso-position-vertical:bottom;mso-position-vertical-relative:page;v-text-anchor:bottom" alt="OFFI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">
              <v:textbox style="mso-fit-shape-to-text:t" inset="0,0,0,15pt">
                <w:txbxContent>
                  <w:p w:rsidRPr="003C3148" w:rsidR="003C3148" w:rsidP="003C3148" w:rsidRDefault="003C3148" w14:paraId="745537B4" w14:textId="0446F6FF">
                    <w:pPr>
                      <w:spacing w:after="0"/>
                      <w:rPr>
                        <w:rFonts w:ascii="Calibri" w:hAnsi="Calibri" w:eastAsia="Calibri" w:cs="Calibri"/>
                        <w:noProof/>
                        <w:color w:val="000000"/>
                        <w:sz w:val="20"/>
                        <w:szCs w:val="20"/>
                      </w:rPr>
                    </w:pPr>
                    <w:r w:rsidRPr="003C3148">
                      <w:rPr>
                        <w:rFonts w:ascii="Calibri" w:hAnsi="Calibri" w:eastAsia="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A78D2" w:rsidP="00705A3D" w:rsidRDefault="003A78D2" w14:paraId="4746F3F9" w14:textId="77777777">
      <w:pPr>
        <w:spacing w:after="0" w:line="240" w:lineRule="auto"/>
      </w:pPr>
      <w:r>
        <w:separator/>
      </w:r>
    </w:p>
  </w:footnote>
  <w:footnote w:type="continuationSeparator" w:id="0">
    <w:p w:rsidR="003A78D2" w:rsidP="00705A3D" w:rsidRDefault="003A78D2" w14:paraId="15A32B86" w14:textId="77777777">
      <w:pPr>
        <w:spacing w:after="0" w:line="240" w:lineRule="auto"/>
      </w:pPr>
      <w:r>
        <w:continuationSeparator/>
      </w:r>
    </w:p>
  </w:footnote>
  <w:footnote w:type="continuationNotice" w:id="1">
    <w:p w:rsidR="003A78D2" w:rsidRDefault="003A78D2" w14:paraId="5CFFF5C5" w14:textId="77777777">
      <w:pPr>
        <w:spacing w:after="0" w:line="240" w:lineRule="auto"/>
      </w:pPr>
    </w:p>
  </w:footnote>
  <w:footnote w:id="2">
    <w:p w:rsidR="0028007B" w:rsidP="0028007B" w:rsidRDefault="0028007B" w14:paraId="2CF30CB6" w14:textId="77777777">
      <w:pPr>
        <w:pStyle w:val="FootnoteText"/>
      </w:pPr>
      <w:r>
        <w:rPr>
          <w:rStyle w:val="FootnoteReference"/>
        </w:rPr>
        <w:footnoteRef/>
      </w:r>
      <w:r>
        <w:t xml:space="preserve"> </w:t>
      </w:r>
      <w:hyperlink w:history="1" r:id="rId1">
        <w:r w:rsidRPr="00CC5F57">
          <w:rPr>
            <w:rStyle w:val="Hyperlink"/>
            <w:sz w:val="16"/>
            <w:szCs w:val="16"/>
          </w:rPr>
          <w:t>https://www.gov.uk/government/consultations/climate-change-agreements-consultation-on-extension-and-future-scheme-2023</w:t>
        </w:r>
      </w:hyperlink>
      <w:r w:rsidRPr="00CC5F57">
        <w:rPr>
          <w:sz w:val="16"/>
          <w:szCs w:val="16"/>
        </w:rPr>
        <w:t xml:space="preserve"> </w:t>
      </w:r>
    </w:p>
  </w:footnote>
  <w:footnote w:id="3">
    <w:p w:rsidRPr="00A87B37" w:rsidR="00001432" w:rsidP="00001432" w:rsidRDefault="00001432" w14:paraId="2E94E7BE" w14:textId="77777777">
      <w:pPr>
        <w:pStyle w:val="FootnoteText"/>
        <w:rPr>
          <w:sz w:val="16"/>
          <w:szCs w:val="16"/>
        </w:rPr>
      </w:pPr>
      <w:r w:rsidRPr="00A87B37">
        <w:rPr>
          <w:rStyle w:val="FootnoteReference"/>
          <w:sz w:val="16"/>
          <w:szCs w:val="16"/>
        </w:rPr>
        <w:footnoteRef/>
      </w:r>
      <w:r w:rsidRPr="00A87B37">
        <w:rPr>
          <w:sz w:val="16"/>
          <w:szCs w:val="16"/>
        </w:rPr>
        <w:t xml:space="preserve"> </w:t>
      </w:r>
      <w:hyperlink w:history="1" r:id="rId2">
        <w:r>
          <w:rPr>
            <w:rStyle w:val="Hyperlink"/>
            <w:sz w:val="16"/>
            <w:szCs w:val="16"/>
          </w:rPr>
          <w:t>DUKES T</w:t>
        </w:r>
        <w:r w:rsidRPr="00A87B37">
          <w:rPr>
            <w:rStyle w:val="Hyperlink"/>
            <w:sz w:val="16"/>
            <w:szCs w:val="16"/>
          </w:rPr>
          <w:t>able 5.3</w:t>
        </w:r>
      </w:hyperlink>
    </w:p>
  </w:footnote>
  <w:footnote w:id="4">
    <w:p w:rsidR="00001432" w:rsidP="00001432" w:rsidRDefault="00001432" w14:paraId="218B22D1" w14:textId="77777777">
      <w:pPr>
        <w:pStyle w:val="FootnoteText"/>
      </w:pPr>
      <w:r w:rsidRPr="00A87B37">
        <w:rPr>
          <w:rStyle w:val="FootnoteReference"/>
          <w:sz w:val="16"/>
          <w:szCs w:val="16"/>
        </w:rPr>
        <w:footnoteRef/>
      </w:r>
      <w:r w:rsidRPr="00A87B37">
        <w:rPr>
          <w:sz w:val="16"/>
          <w:szCs w:val="16"/>
        </w:rPr>
        <w:t xml:space="preserve"> </w:t>
      </w:r>
      <w:hyperlink w:history="1" r:id="rId3">
        <w:r>
          <w:rPr>
            <w:rStyle w:val="Hyperlink"/>
            <w:sz w:val="16"/>
            <w:szCs w:val="16"/>
          </w:rPr>
          <w:t>DUKES T</w:t>
        </w:r>
        <w:r w:rsidRPr="00A87B37">
          <w:rPr>
            <w:rStyle w:val="Hyperlink"/>
            <w:sz w:val="16"/>
            <w:szCs w:val="16"/>
          </w:rPr>
          <w:t>able 5.1</w:t>
        </w:r>
      </w:hyperlink>
    </w:p>
  </w:footnote>
  <w:footnote w:id="5">
    <w:p w:rsidRPr="00172BD1" w:rsidR="00093F0B" w:rsidP="00093F0B" w:rsidRDefault="00093F0B" w14:paraId="36B8717A" w14:textId="77777777">
      <w:pPr>
        <w:pStyle w:val="FootnoteText"/>
        <w:rPr>
          <w:sz w:val="16"/>
          <w:szCs w:val="16"/>
        </w:rPr>
      </w:pPr>
      <w:r w:rsidRPr="00172BD1">
        <w:rPr>
          <w:rStyle w:val="FootnoteReference"/>
          <w:sz w:val="16"/>
          <w:szCs w:val="16"/>
        </w:rPr>
        <w:footnoteRef/>
      </w:r>
      <w:r w:rsidRPr="00172BD1">
        <w:rPr>
          <w:sz w:val="16"/>
          <w:szCs w:val="16"/>
        </w:rPr>
        <w:t xml:space="preserve"> </w:t>
      </w:r>
      <w:hyperlink w:history="1" r:id="rId4">
        <w:r w:rsidRPr="00172BD1">
          <w:rPr>
            <w:rStyle w:val="Hyperlink"/>
            <w:sz w:val="16"/>
            <w:szCs w:val="16"/>
          </w:rPr>
          <w:t>https://www.gov.uk/government/publications/greenhouse-gas-reporting-conversion-factors-2024</w:t>
        </w:r>
      </w:hyperlink>
      <w:r w:rsidRPr="00172BD1">
        <w:rPr>
          <w:sz w:val="16"/>
          <w:szCs w:val="16"/>
        </w:rPr>
        <w:t xml:space="preserve"> </w:t>
      </w:r>
    </w:p>
  </w:footnote>
  <w:footnote w:id="6">
    <w:p w:rsidRPr="00172BD1" w:rsidR="00093F0B" w:rsidP="00093F0B" w:rsidRDefault="00093F0B" w14:paraId="5CE6159B" w14:textId="77777777">
      <w:pPr>
        <w:pStyle w:val="FootnoteText"/>
        <w:rPr>
          <w:sz w:val="16"/>
          <w:szCs w:val="16"/>
        </w:rPr>
      </w:pPr>
      <w:r w:rsidRPr="00172BD1">
        <w:rPr>
          <w:rStyle w:val="FootnoteReference"/>
          <w:sz w:val="16"/>
          <w:szCs w:val="16"/>
        </w:rPr>
        <w:footnoteRef/>
      </w:r>
      <w:r w:rsidRPr="00172BD1">
        <w:rPr>
          <w:sz w:val="16"/>
          <w:szCs w:val="16"/>
        </w:rPr>
        <w:t xml:space="preserve"> This is due to an assumption that the chemical composition of these fuels is unchanged, i.e. they continue to emit the same CO2 released per unit mass as 2001 rates and have not become less carbon intensive.</w:t>
      </w:r>
    </w:p>
  </w:footnote>
  <w:footnote w:id="7">
    <w:p w:rsidRPr="00347409" w:rsidR="00093F0B" w:rsidP="00093F0B" w:rsidRDefault="00093F0B" w14:paraId="01D7D5AC" w14:textId="77777777">
      <w:pPr>
        <w:pStyle w:val="FootnoteText"/>
      </w:pPr>
      <w:r w:rsidRPr="00347409">
        <w:rPr>
          <w:rStyle w:val="FootnoteReference"/>
          <w:sz w:val="16"/>
          <w:szCs w:val="16"/>
        </w:rPr>
        <w:footnoteRef/>
      </w:r>
      <w:r w:rsidRPr="00347409">
        <w:rPr>
          <w:sz w:val="16"/>
          <w:szCs w:val="16"/>
        </w:rPr>
        <w:t xml:space="preserve"> </w:t>
      </w:r>
      <w:hyperlink w:history="1" r:id="rId5">
        <w:r w:rsidRPr="00347409">
          <w:rPr>
            <w:rStyle w:val="Hyperlink"/>
            <w:sz w:val="16"/>
            <w:szCs w:val="16"/>
          </w:rPr>
          <w:t>DUKES Table 2.6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012AB1" w:rsidRDefault="00012AB1" w14:paraId="7989FE96" w14:textId="77777777">
    <w:pPr>
      <w:pStyle w:val="Header"/>
      <w:ind w:left="-142"/>
    </w:pPr>
    <w:r>
      <w:rPr>
        <w:noProof/>
        <w:lang w:eastAsia="en-GB"/>
      </w:rPr>
      <w:drawing>
        <wp:anchor distT="0" distB="0" distL="114300" distR="114300" simplePos="0" relativeHeight="251658246" behindDoc="0" locked="0" layoutInCell="1" allowOverlap="1" wp14:anchorId="62CC0E8B" wp14:editId="4956DE56">
          <wp:simplePos x="0" y="0"/>
          <wp:positionH relativeFrom="margin">
            <wp:align>left</wp:align>
          </wp:positionH>
          <wp:positionV relativeFrom="paragraph">
            <wp:posOffset>-19714</wp:posOffset>
          </wp:positionV>
          <wp:extent cx="2058035" cy="1210310"/>
          <wp:effectExtent l="0" t="0" r="0" b="889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58035" cy="121031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B00598" w:rsidR="00012AB1" w:rsidRDefault="00012AB1" w14:paraId="17336A68" w14:textId="05D38A1D">
    <w:pPr>
      <w:pStyle w:val="Header"/>
      <w:ind w:left="-567"/>
      <w:rPr>
        <w:color w:val="041E42"/>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B00598" w:rsidR="00012AB1" w:rsidRDefault="00012AB1" w14:paraId="437411D4" w14:textId="77777777">
    <w:pPr>
      <w:pStyle w:val="Header"/>
      <w:pBdr>
        <w:bottom w:val="single" w:color="2B7EE2" w:sz="2" w:space="1"/>
      </w:pBdr>
      <w:rPr>
        <w:color w:val="041E42"/>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711C2B" w:rsidR="00012AB1" w:rsidRDefault="00012AB1" w14:paraId="71C771CF" w14:textId="77777777">
    <w:pPr>
      <w:pStyle w:val="Header"/>
    </w:pPr>
    <w:r w:rsidRPr="00711C2B">
      <w:t>Facility Energy and Carbon Savings Assessment Tool: Completion Guidance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3C3148" w:rsidRDefault="003C3148" w14:paraId="05D2F758" w14:textId="46C96C3D">
    <w:pPr>
      <w:pStyle w:val="Header"/>
    </w:pPr>
    <w:r>
      <w:rPr>
        <w:noProof/>
        <w14:ligatures w14:val="standardContextual"/>
      </w:rPr>
      <mc:AlternateContent>
        <mc:Choice Requires="wps">
          <w:drawing>
            <wp:anchor distT="0" distB="0" distL="0" distR="0" simplePos="0" relativeHeight="251658241" behindDoc="0" locked="0" layoutInCell="1" allowOverlap="1" wp14:anchorId="384A434B" wp14:editId="584E81E0">
              <wp:simplePos x="635" y="635"/>
              <wp:positionH relativeFrom="page">
                <wp:align>center</wp:align>
              </wp:positionH>
              <wp:positionV relativeFrom="page">
                <wp:align>top</wp:align>
              </wp:positionV>
              <wp:extent cx="459740" cy="370840"/>
              <wp:effectExtent l="0" t="0" r="16510" b="10160"/>
              <wp:wrapNone/>
              <wp:docPr id="7656149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70840"/>
                      </a:xfrm>
                      <a:prstGeom prst="rect">
                        <a:avLst/>
                      </a:prstGeom>
                      <a:noFill/>
                      <a:ln>
                        <a:noFill/>
                      </a:ln>
                    </wps:spPr>
                    <wps:txbx>
                      <w:txbxContent>
                        <w:p w:rsidRPr="003C3148" w:rsidR="003C3148" w:rsidP="003C3148" w:rsidRDefault="003C3148" w14:paraId="53E736BE" w14:textId="682BFA73">
                          <w:pPr>
                            <w:spacing w:after="0"/>
                            <w:rPr>
                              <w:rFonts w:ascii="Calibri" w:hAnsi="Calibri" w:eastAsia="Calibri" w:cs="Calibri"/>
                              <w:noProof/>
                              <w:color w:val="000000"/>
                              <w:sz w:val="20"/>
                              <w:szCs w:val="20"/>
                            </w:rPr>
                          </w:pPr>
                          <w:r w:rsidRPr="003C3148">
                            <w:rPr>
                              <w:rFonts w:ascii="Calibri" w:hAnsi="Calibri" w:eastAsia="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384A434B">
              <v:stroke joinstyle="miter"/>
              <v:path gradientshapeok="t" o:connecttype="rect"/>
            </v:shapetype>
            <v:shape id="Text Box 2" style="position:absolute;margin-left:0;margin-top:0;width:36.2pt;height:29.2pt;z-index:251658241;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">
              <v:textbox style="mso-fit-shape-to-text:t" inset="0,15pt,0,0">
                <w:txbxContent>
                  <w:p w:rsidRPr="003C3148" w:rsidR="003C3148" w:rsidP="003C3148" w:rsidRDefault="003C3148" w14:paraId="53E736BE" w14:textId="682BFA73">
                    <w:pPr>
                      <w:spacing w:after="0"/>
                      <w:rPr>
                        <w:rFonts w:ascii="Calibri" w:hAnsi="Calibri" w:eastAsia="Calibri" w:cs="Calibri"/>
                        <w:noProof/>
                        <w:color w:val="000000"/>
                        <w:sz w:val="20"/>
                        <w:szCs w:val="20"/>
                      </w:rPr>
                    </w:pPr>
                    <w:r w:rsidRPr="003C3148">
                      <w:rPr>
                        <w:rFonts w:ascii="Calibri" w:hAnsi="Calibri" w:eastAsia="Calibri" w:cs="Calibri"/>
                        <w:noProof/>
                        <w:color w:val="000000"/>
                        <w:sz w:val="20"/>
                        <w:szCs w:val="2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clsh="http://schemas.microsoft.com/office/drawing/2020/classificationShape" mc:Ignorable="w14 w15 w16se w16cid w16 w16cex w16sdtdh w16sdtfl w16du wp14">
  <w:p w:rsidR="00705A3D" w:rsidP="006B78CC" w:rsidRDefault="0050162F" w14:paraId="5D65FAA6" w14:textId="07357819">
    <w:pPr>
      <w:pStyle w:val="Header"/>
      <w:jc w:val="center"/>
    </w:pPr>
    <w:r>
      <w:rPr>
        <w:noProof/>
        <w:lang w:eastAsia="en-GB"/>
      </w:rPr>
      <w:drawing>
        <wp:anchor distT="0" distB="0" distL="114300" distR="114300" simplePos="0" relativeHeight="251658247" behindDoc="0" locked="0" layoutInCell="1" allowOverlap="1" wp14:anchorId="294D0337" wp14:editId="0A812E4C">
          <wp:simplePos x="0" y="0"/>
          <wp:positionH relativeFrom="margin">
            <wp:posOffset>0</wp:posOffset>
          </wp:positionH>
          <wp:positionV relativeFrom="paragraph">
            <wp:posOffset>189865</wp:posOffset>
          </wp:positionV>
          <wp:extent cx="2058035" cy="1210310"/>
          <wp:effectExtent l="0" t="0" r="0" b="8890"/>
          <wp:wrapTopAndBottom/>
          <wp:docPr id="1365520226" name="Picture 1365520226"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58035" cy="1210310"/>
                  </a:xfrm>
                  <a:prstGeom prst="rect">
                    <a:avLst/>
                  </a:prstGeom>
                </pic:spPr>
              </pic:pic>
            </a:graphicData>
          </a:graphic>
          <wp14:sizeRelH relativeFrom="page">
            <wp14:pctWidth>0</wp14:pctWidth>
          </wp14:sizeRelH>
          <wp14:sizeRelV relativeFrom="page">
            <wp14:pctHeight>0</wp14:pctHeight>
          </wp14:sizeRelV>
        </wp:anchor>
      </w:drawing>
    </w:r>
    <w:r w:rsidR="003C3148">
      <w:rPr>
        <w:noProof/>
        <w14:ligatures w14:val="standardContextual"/>
      </w:rPr>
      <mc:AlternateContent>
        <mc:Choice Requires="wps">
          <w:drawing>
            <wp:anchor distT="0" distB="0" distL="0" distR="0" simplePos="0" relativeHeight="251658242" behindDoc="0" locked="0" layoutInCell="1" allowOverlap="1" wp14:anchorId="431C75CC" wp14:editId="19372D80">
              <wp:simplePos x="914400" y="451262"/>
              <wp:positionH relativeFrom="page">
                <wp:align>center</wp:align>
              </wp:positionH>
              <wp:positionV relativeFrom="page">
                <wp:align>top</wp:align>
              </wp:positionV>
              <wp:extent cx="459740" cy="370840"/>
              <wp:effectExtent l="0" t="0" r="16510" b="10160"/>
              <wp:wrapNone/>
              <wp:docPr id="127100989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70840"/>
                      </a:xfrm>
                      <a:prstGeom prst="rect">
                        <a:avLst/>
                      </a:prstGeom>
                      <a:noFill/>
                      <a:ln>
                        <a:noFill/>
                      </a:ln>
                    </wps:spPr>
                    <wps:txbx>
                      <w:txbxContent>
                        <w:p w:rsidRPr="003C3148" w:rsidR="003C3148" w:rsidP="003C3148" w:rsidRDefault="003C3148" w14:paraId="03131F4A" w14:textId="0FA41587">
                          <w:pPr>
                            <w:spacing w:after="0"/>
                            <w:rPr>
                              <w:rFonts w:ascii="Calibri" w:hAnsi="Calibri" w:eastAsia="Calibri" w:cs="Calibri"/>
                              <w:noProof/>
                              <w:color w:val="000000"/>
                              <w:sz w:val="20"/>
                              <w:szCs w:val="20"/>
                            </w:rPr>
                          </w:pPr>
                          <w:r w:rsidRPr="003C3148">
                            <w:rPr>
                              <w:rFonts w:ascii="Calibri" w:hAnsi="Calibri" w:eastAsia="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431C75CC">
              <v:stroke joinstyle="miter"/>
              <v:path gradientshapeok="t" o:connecttype="rect"/>
            </v:shapetype>
            <v:shape id="Text Box 3" style="position:absolute;left:0;text-align:left;margin-left:0;margin-top:0;width:36.2pt;height:29.2pt;z-index:251658242;visibility:visible;mso-wrap-style:none;mso-wrap-distance-left:0;mso-wrap-distance-top:0;mso-wrap-distance-right:0;mso-wrap-distance-bottom:0;mso-position-horizontal:center;mso-position-horizontal-relative:page;mso-position-vertical:top;mso-position-vertical-relative:page;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">
              <v:textbox style="mso-fit-shape-to-text:t" inset="0,15pt,0,0">
                <w:txbxContent>
                  <w:p w:rsidRPr="003C3148" w:rsidR="003C3148" w:rsidP="003C3148" w:rsidRDefault="003C3148" w14:paraId="03131F4A" w14:textId="0FA41587">
                    <w:pPr>
                      <w:spacing w:after="0"/>
                      <w:rPr>
                        <w:rFonts w:ascii="Calibri" w:hAnsi="Calibri" w:eastAsia="Calibri" w:cs="Calibri"/>
                        <w:noProof/>
                        <w:color w:val="000000"/>
                        <w:sz w:val="20"/>
                        <w:szCs w:val="20"/>
                      </w:rPr>
                    </w:pPr>
                    <w:r w:rsidRPr="003C3148">
                      <w:rPr>
                        <w:rFonts w:ascii="Calibri" w:hAnsi="Calibri" w:eastAsia="Calibri" w:cs="Calibri"/>
                        <w:noProof/>
                        <w:color w:val="000000"/>
                        <w:sz w:val="20"/>
                        <w:szCs w:val="20"/>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3C3148" w:rsidRDefault="003C3148" w14:paraId="166DE4EE" w14:textId="651FA523">
    <w:pPr>
      <w:pStyle w:val="Header"/>
    </w:pPr>
    <w:r>
      <w:rPr>
        <w:noProof/>
        <w14:ligatures w14:val="standardContextual"/>
      </w:rPr>
      <mc:AlternateContent>
        <mc:Choice Requires="wps">
          <w:drawing>
            <wp:anchor distT="0" distB="0" distL="0" distR="0" simplePos="0" relativeHeight="251658240" behindDoc="0" locked="0" layoutInCell="1" allowOverlap="1" wp14:anchorId="0A0F2EB9" wp14:editId="30987AD1">
              <wp:simplePos x="635" y="635"/>
              <wp:positionH relativeFrom="page">
                <wp:align>center</wp:align>
              </wp:positionH>
              <wp:positionV relativeFrom="page">
                <wp:align>top</wp:align>
              </wp:positionV>
              <wp:extent cx="459740" cy="370840"/>
              <wp:effectExtent l="0" t="0" r="16510" b="10160"/>
              <wp:wrapNone/>
              <wp:docPr id="13590483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70840"/>
                      </a:xfrm>
                      <a:prstGeom prst="rect">
                        <a:avLst/>
                      </a:prstGeom>
                      <a:noFill/>
                      <a:ln>
                        <a:noFill/>
                      </a:ln>
                    </wps:spPr>
                    <wps:txbx>
                      <w:txbxContent>
                        <w:p w:rsidRPr="003C3148" w:rsidR="003C3148" w:rsidP="003C3148" w:rsidRDefault="003C3148" w14:paraId="65100D22" w14:textId="33D4BFF2">
                          <w:pPr>
                            <w:spacing w:after="0"/>
                            <w:rPr>
                              <w:rFonts w:ascii="Calibri" w:hAnsi="Calibri" w:eastAsia="Calibri" w:cs="Calibri"/>
                              <w:noProof/>
                              <w:color w:val="000000"/>
                              <w:sz w:val="20"/>
                              <w:szCs w:val="20"/>
                            </w:rPr>
                          </w:pPr>
                          <w:r w:rsidRPr="003C3148">
                            <w:rPr>
                              <w:rFonts w:ascii="Calibri" w:hAnsi="Calibri" w:eastAsia="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0A0F2EB9">
              <v:stroke joinstyle="miter"/>
              <v:path gradientshapeok="t" o:connecttype="rect"/>
            </v:shapetype>
            <v:shape id="Text Box 1" style="position:absolute;margin-left:0;margin-top:0;width:36.2pt;height:29.2pt;z-index:251658240;visibility:visible;mso-wrap-style:none;mso-wrap-distance-left:0;mso-wrap-distance-top:0;mso-wrap-distance-right:0;mso-wrap-distance-bottom:0;mso-position-horizontal:center;mso-position-horizontal-relative:page;mso-position-vertical:top;mso-position-vertical-relative:page;v-text-anchor:top"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">
              <v:textbox style="mso-fit-shape-to-text:t" inset="0,15pt,0,0">
                <w:txbxContent>
                  <w:p w:rsidRPr="003C3148" w:rsidR="003C3148" w:rsidP="003C3148" w:rsidRDefault="003C3148" w14:paraId="65100D22" w14:textId="33D4BFF2">
                    <w:pPr>
                      <w:spacing w:after="0"/>
                      <w:rPr>
                        <w:rFonts w:ascii="Calibri" w:hAnsi="Calibri" w:eastAsia="Calibri" w:cs="Calibri"/>
                        <w:noProof/>
                        <w:color w:val="000000"/>
                        <w:sz w:val="20"/>
                        <w:szCs w:val="20"/>
                      </w:rPr>
                    </w:pPr>
                    <w:r w:rsidRPr="003C3148">
                      <w:rPr>
                        <w:rFonts w:ascii="Calibri" w:hAnsi="Calibri" w:eastAsia="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851DE"/>
    <w:multiLevelType w:val="hybridMultilevel"/>
    <w:tmpl w:val="ECD08D5A"/>
    <w:lvl w:ilvl="0" w:tplc="020A8ED0">
      <w:start w:val="1"/>
      <w:numFmt w:val="bullet"/>
      <w:lvlText w:val=""/>
      <w:lvlJc w:val="left"/>
      <w:pPr>
        <w:ind w:left="720" w:hanging="360"/>
      </w:pPr>
      <w:rPr>
        <w:rFonts w:hint="default" w:ascii="Symbol" w:hAnsi="Symbol"/>
      </w:rPr>
    </w:lvl>
    <w:lvl w:ilvl="1" w:tplc="55D43148" w:tentative="1">
      <w:start w:val="1"/>
      <w:numFmt w:val="bullet"/>
      <w:lvlText w:val="o"/>
      <w:lvlJc w:val="left"/>
      <w:pPr>
        <w:ind w:left="1440" w:hanging="360"/>
      </w:pPr>
      <w:rPr>
        <w:rFonts w:hint="default" w:ascii="Courier New" w:hAnsi="Courier New"/>
      </w:rPr>
    </w:lvl>
    <w:lvl w:ilvl="2" w:tplc="1F5C8AB4" w:tentative="1">
      <w:start w:val="1"/>
      <w:numFmt w:val="bullet"/>
      <w:lvlText w:val=""/>
      <w:lvlJc w:val="left"/>
      <w:pPr>
        <w:ind w:left="2160" w:hanging="360"/>
      </w:pPr>
      <w:rPr>
        <w:rFonts w:hint="default" w:ascii="Wingdings" w:hAnsi="Wingdings"/>
      </w:rPr>
    </w:lvl>
    <w:lvl w:ilvl="3" w:tplc="BB4E0FE0" w:tentative="1">
      <w:start w:val="1"/>
      <w:numFmt w:val="bullet"/>
      <w:lvlText w:val=""/>
      <w:lvlJc w:val="left"/>
      <w:pPr>
        <w:ind w:left="2880" w:hanging="360"/>
      </w:pPr>
      <w:rPr>
        <w:rFonts w:hint="default" w:ascii="Symbol" w:hAnsi="Symbol"/>
      </w:rPr>
    </w:lvl>
    <w:lvl w:ilvl="4" w:tplc="8A765CC6" w:tentative="1">
      <w:start w:val="1"/>
      <w:numFmt w:val="bullet"/>
      <w:lvlText w:val="o"/>
      <w:lvlJc w:val="left"/>
      <w:pPr>
        <w:ind w:left="3600" w:hanging="360"/>
      </w:pPr>
      <w:rPr>
        <w:rFonts w:hint="default" w:ascii="Courier New" w:hAnsi="Courier New"/>
      </w:rPr>
    </w:lvl>
    <w:lvl w:ilvl="5" w:tplc="B31A811A" w:tentative="1">
      <w:start w:val="1"/>
      <w:numFmt w:val="bullet"/>
      <w:lvlText w:val=""/>
      <w:lvlJc w:val="left"/>
      <w:pPr>
        <w:ind w:left="4320" w:hanging="360"/>
      </w:pPr>
      <w:rPr>
        <w:rFonts w:hint="default" w:ascii="Wingdings" w:hAnsi="Wingdings"/>
      </w:rPr>
    </w:lvl>
    <w:lvl w:ilvl="6" w:tplc="64AA3A46" w:tentative="1">
      <w:start w:val="1"/>
      <w:numFmt w:val="bullet"/>
      <w:lvlText w:val=""/>
      <w:lvlJc w:val="left"/>
      <w:pPr>
        <w:ind w:left="5040" w:hanging="360"/>
      </w:pPr>
      <w:rPr>
        <w:rFonts w:hint="default" w:ascii="Symbol" w:hAnsi="Symbol"/>
      </w:rPr>
    </w:lvl>
    <w:lvl w:ilvl="7" w:tplc="22B4D318" w:tentative="1">
      <w:start w:val="1"/>
      <w:numFmt w:val="bullet"/>
      <w:lvlText w:val="o"/>
      <w:lvlJc w:val="left"/>
      <w:pPr>
        <w:ind w:left="5760" w:hanging="360"/>
      </w:pPr>
      <w:rPr>
        <w:rFonts w:hint="default" w:ascii="Courier New" w:hAnsi="Courier New"/>
      </w:rPr>
    </w:lvl>
    <w:lvl w:ilvl="8" w:tplc="DE4CABEE" w:tentative="1">
      <w:start w:val="1"/>
      <w:numFmt w:val="bullet"/>
      <w:lvlText w:val=""/>
      <w:lvlJc w:val="left"/>
      <w:pPr>
        <w:ind w:left="6480" w:hanging="360"/>
      </w:pPr>
      <w:rPr>
        <w:rFonts w:hint="default" w:ascii="Wingdings" w:hAnsi="Wingdings"/>
      </w:rPr>
    </w:lvl>
  </w:abstractNum>
  <w:abstractNum w:abstractNumId="1" w15:restartNumberingAfterBreak="0">
    <w:nsid w:val="04A010C5"/>
    <w:multiLevelType w:val="multilevel"/>
    <w:tmpl w:val="781C6C3A"/>
    <w:lvl w:ilvl="0">
      <w:start w:val="1"/>
      <w:numFmt w:val="decimal"/>
      <w:lvlText w:val="%1."/>
      <w:lvlJc w:val="left"/>
      <w:pPr>
        <w:ind w:left="720" w:hanging="360"/>
      </w:pPr>
      <w:rPr>
        <w:b w:val="0"/>
        <w:bCs w:val="0"/>
      </w:rPr>
    </w:lvl>
    <w:lvl w:ilvl="1">
      <w:start w:val="1"/>
      <w:numFmt w:val="lowerLetter"/>
      <w:lvlText w:val="%2."/>
      <w:lvlJc w:val="left"/>
      <w:pPr>
        <w:ind w:left="1152" w:hanging="432"/>
      </w:pPr>
      <w:rPr>
        <w:rFonts w:hint="default" w:ascii="Aptos" w:hAnsi="Aptos"/>
        <w:b w:val="0"/>
        <w:bCs w:val="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282B259F"/>
    <w:multiLevelType w:val="hybridMultilevel"/>
    <w:tmpl w:val="8F3C99C4"/>
    <w:lvl w:ilvl="0" w:tplc="4678F1C6">
      <w:start w:val="1"/>
      <w:numFmt w:val="bullet"/>
      <w:pStyle w:val="DESNZbulletedlist"/>
      <w:lvlText w:val=""/>
      <w:lvlJc w:val="left"/>
      <w:pPr>
        <w:ind w:left="717" w:hanging="360"/>
      </w:pPr>
      <w:rPr>
        <w:rFonts w:hint="default" w:ascii="Symbol" w:hAnsi="Symbol"/>
        <w:color w:val="041E42"/>
      </w:rPr>
    </w:lvl>
    <w:lvl w:ilvl="1" w:tplc="F2CE82A2">
      <w:start w:val="1"/>
      <w:numFmt w:val="bullet"/>
      <w:lvlText w:val="o"/>
      <w:lvlJc w:val="left"/>
      <w:pPr>
        <w:ind w:left="1440" w:hanging="360"/>
      </w:pPr>
      <w:rPr>
        <w:rFonts w:hint="default" w:ascii="Courier New" w:hAnsi="Courier New"/>
      </w:rPr>
    </w:lvl>
    <w:lvl w:ilvl="2" w:tplc="F35EEB8C" w:tentative="1">
      <w:start w:val="1"/>
      <w:numFmt w:val="bullet"/>
      <w:lvlText w:val=""/>
      <w:lvlJc w:val="left"/>
      <w:pPr>
        <w:ind w:left="2160" w:hanging="360"/>
      </w:pPr>
      <w:rPr>
        <w:rFonts w:hint="default" w:ascii="Wingdings" w:hAnsi="Wingdings"/>
      </w:rPr>
    </w:lvl>
    <w:lvl w:ilvl="3" w:tplc="DD083C86" w:tentative="1">
      <w:start w:val="1"/>
      <w:numFmt w:val="bullet"/>
      <w:lvlText w:val=""/>
      <w:lvlJc w:val="left"/>
      <w:pPr>
        <w:ind w:left="2880" w:hanging="360"/>
      </w:pPr>
      <w:rPr>
        <w:rFonts w:hint="default" w:ascii="Symbol" w:hAnsi="Symbol"/>
      </w:rPr>
    </w:lvl>
    <w:lvl w:ilvl="4" w:tplc="413CE4EE" w:tentative="1">
      <w:start w:val="1"/>
      <w:numFmt w:val="bullet"/>
      <w:lvlText w:val="o"/>
      <w:lvlJc w:val="left"/>
      <w:pPr>
        <w:ind w:left="3600" w:hanging="360"/>
      </w:pPr>
      <w:rPr>
        <w:rFonts w:hint="default" w:ascii="Courier New" w:hAnsi="Courier New"/>
      </w:rPr>
    </w:lvl>
    <w:lvl w:ilvl="5" w:tplc="093A6FC6" w:tentative="1">
      <w:start w:val="1"/>
      <w:numFmt w:val="bullet"/>
      <w:lvlText w:val=""/>
      <w:lvlJc w:val="left"/>
      <w:pPr>
        <w:ind w:left="4320" w:hanging="360"/>
      </w:pPr>
      <w:rPr>
        <w:rFonts w:hint="default" w:ascii="Wingdings" w:hAnsi="Wingdings"/>
      </w:rPr>
    </w:lvl>
    <w:lvl w:ilvl="6" w:tplc="937A1B2E" w:tentative="1">
      <w:start w:val="1"/>
      <w:numFmt w:val="bullet"/>
      <w:lvlText w:val=""/>
      <w:lvlJc w:val="left"/>
      <w:pPr>
        <w:ind w:left="5040" w:hanging="360"/>
      </w:pPr>
      <w:rPr>
        <w:rFonts w:hint="default" w:ascii="Symbol" w:hAnsi="Symbol"/>
      </w:rPr>
    </w:lvl>
    <w:lvl w:ilvl="7" w:tplc="21228868" w:tentative="1">
      <w:start w:val="1"/>
      <w:numFmt w:val="bullet"/>
      <w:lvlText w:val="o"/>
      <w:lvlJc w:val="left"/>
      <w:pPr>
        <w:ind w:left="5760" w:hanging="360"/>
      </w:pPr>
      <w:rPr>
        <w:rFonts w:hint="default" w:ascii="Courier New" w:hAnsi="Courier New"/>
      </w:rPr>
    </w:lvl>
    <w:lvl w:ilvl="8" w:tplc="87CAE720" w:tentative="1">
      <w:start w:val="1"/>
      <w:numFmt w:val="bullet"/>
      <w:lvlText w:val=""/>
      <w:lvlJc w:val="left"/>
      <w:pPr>
        <w:ind w:left="6480" w:hanging="360"/>
      </w:pPr>
      <w:rPr>
        <w:rFonts w:hint="default" w:ascii="Wingdings" w:hAnsi="Wingdings"/>
      </w:rPr>
    </w:lvl>
  </w:abstractNum>
  <w:abstractNum w:abstractNumId="3" w15:restartNumberingAfterBreak="0">
    <w:nsid w:val="2EA09E06"/>
    <w:multiLevelType w:val="hybridMultilevel"/>
    <w:tmpl w:val="FA0C319C"/>
    <w:lvl w:ilvl="0" w:tplc="16EA5846">
      <w:start w:val="1"/>
      <w:numFmt w:val="decimal"/>
      <w:lvlText w:val="%1."/>
      <w:lvlJc w:val="left"/>
      <w:pPr>
        <w:ind w:left="720" w:hanging="360"/>
      </w:pPr>
      <w:rPr>
        <w:b/>
        <w:bCs/>
      </w:rPr>
    </w:lvl>
    <w:lvl w:ilvl="1" w:tplc="DA0ECA0A">
      <w:start w:val="1"/>
      <w:numFmt w:val="lowerLetter"/>
      <w:lvlText w:val="%2."/>
      <w:lvlJc w:val="left"/>
      <w:pPr>
        <w:ind w:left="1440" w:hanging="360"/>
      </w:pPr>
    </w:lvl>
    <w:lvl w:ilvl="2" w:tplc="8E6664BC">
      <w:start w:val="1"/>
      <w:numFmt w:val="lowerRoman"/>
      <w:lvlText w:val="%3."/>
      <w:lvlJc w:val="right"/>
      <w:pPr>
        <w:ind w:left="2160" w:hanging="180"/>
      </w:pPr>
    </w:lvl>
    <w:lvl w:ilvl="3" w:tplc="10E8011E">
      <w:start w:val="1"/>
      <w:numFmt w:val="decimal"/>
      <w:lvlText w:val="%4."/>
      <w:lvlJc w:val="left"/>
      <w:pPr>
        <w:ind w:left="2880" w:hanging="360"/>
      </w:pPr>
    </w:lvl>
    <w:lvl w:ilvl="4" w:tplc="5CDCBEE4">
      <w:start w:val="1"/>
      <w:numFmt w:val="lowerLetter"/>
      <w:lvlText w:val="%5."/>
      <w:lvlJc w:val="left"/>
      <w:pPr>
        <w:ind w:left="3600" w:hanging="360"/>
      </w:pPr>
    </w:lvl>
    <w:lvl w:ilvl="5" w:tplc="CA604D5A">
      <w:start w:val="1"/>
      <w:numFmt w:val="lowerRoman"/>
      <w:lvlText w:val="%6."/>
      <w:lvlJc w:val="right"/>
      <w:pPr>
        <w:ind w:left="4320" w:hanging="180"/>
      </w:pPr>
    </w:lvl>
    <w:lvl w:ilvl="6" w:tplc="DBF86300">
      <w:start w:val="1"/>
      <w:numFmt w:val="decimal"/>
      <w:lvlText w:val="%7."/>
      <w:lvlJc w:val="left"/>
      <w:pPr>
        <w:ind w:left="5040" w:hanging="360"/>
      </w:pPr>
    </w:lvl>
    <w:lvl w:ilvl="7" w:tplc="550ADCA6">
      <w:start w:val="1"/>
      <w:numFmt w:val="lowerLetter"/>
      <w:lvlText w:val="%8."/>
      <w:lvlJc w:val="left"/>
      <w:pPr>
        <w:ind w:left="5760" w:hanging="360"/>
      </w:pPr>
    </w:lvl>
    <w:lvl w:ilvl="8" w:tplc="627463BA">
      <w:start w:val="1"/>
      <w:numFmt w:val="lowerRoman"/>
      <w:lvlText w:val="%9."/>
      <w:lvlJc w:val="right"/>
      <w:pPr>
        <w:ind w:left="6480" w:hanging="180"/>
      </w:pPr>
    </w:lvl>
  </w:abstractNum>
  <w:abstractNum w:abstractNumId="4" w15:restartNumberingAfterBreak="0">
    <w:nsid w:val="30171A23"/>
    <w:multiLevelType w:val="hybridMultilevel"/>
    <w:tmpl w:val="D11EE57A"/>
    <w:lvl w:ilvl="0" w:tplc="0809000F">
      <w:start w:val="1"/>
      <w:numFmt w:val="decimal"/>
      <w:lvlText w:val="%1."/>
      <w:lvlJc w:val="left"/>
      <w:pPr>
        <w:ind w:left="2160" w:hanging="36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46724736"/>
    <w:multiLevelType w:val="multilevel"/>
    <w:tmpl w:val="EF64604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asciiTheme="minorHAnsi" w:hAnsiTheme="minorHAnsi"/>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C0B82CF"/>
    <w:multiLevelType w:val="hybridMultilevel"/>
    <w:tmpl w:val="FFFFFFFF"/>
    <w:lvl w:ilvl="0" w:tplc="A754D3EA">
      <w:start w:val="1"/>
      <w:numFmt w:val="decimal"/>
      <w:lvlText w:val="%1."/>
      <w:lvlJc w:val="left"/>
      <w:pPr>
        <w:ind w:left="720" w:hanging="360"/>
      </w:pPr>
    </w:lvl>
    <w:lvl w:ilvl="1" w:tplc="6CF2E41C">
      <w:start w:val="1"/>
      <w:numFmt w:val="lowerLetter"/>
      <w:lvlText w:val="%2."/>
      <w:lvlJc w:val="left"/>
      <w:pPr>
        <w:ind w:left="1440" w:hanging="360"/>
      </w:pPr>
    </w:lvl>
    <w:lvl w:ilvl="2" w:tplc="A8F8CB8E">
      <w:start w:val="1"/>
      <w:numFmt w:val="lowerRoman"/>
      <w:lvlText w:val="%3."/>
      <w:lvlJc w:val="right"/>
      <w:pPr>
        <w:ind w:left="2160" w:hanging="180"/>
      </w:pPr>
    </w:lvl>
    <w:lvl w:ilvl="3" w:tplc="C16E3BDE">
      <w:start w:val="1"/>
      <w:numFmt w:val="decimal"/>
      <w:lvlText w:val="%4."/>
      <w:lvlJc w:val="left"/>
      <w:pPr>
        <w:ind w:left="2880" w:hanging="360"/>
      </w:pPr>
    </w:lvl>
    <w:lvl w:ilvl="4" w:tplc="08BA359C">
      <w:start w:val="1"/>
      <w:numFmt w:val="lowerLetter"/>
      <w:lvlText w:val="%5."/>
      <w:lvlJc w:val="left"/>
      <w:pPr>
        <w:ind w:left="3600" w:hanging="360"/>
      </w:pPr>
    </w:lvl>
    <w:lvl w:ilvl="5" w:tplc="309C5290">
      <w:start w:val="1"/>
      <w:numFmt w:val="lowerRoman"/>
      <w:lvlText w:val="%6."/>
      <w:lvlJc w:val="right"/>
      <w:pPr>
        <w:ind w:left="4320" w:hanging="180"/>
      </w:pPr>
    </w:lvl>
    <w:lvl w:ilvl="6" w:tplc="CD306358">
      <w:start w:val="1"/>
      <w:numFmt w:val="decimal"/>
      <w:lvlText w:val="%7."/>
      <w:lvlJc w:val="left"/>
      <w:pPr>
        <w:ind w:left="5040" w:hanging="360"/>
      </w:pPr>
    </w:lvl>
    <w:lvl w:ilvl="7" w:tplc="95A2EABA">
      <w:start w:val="1"/>
      <w:numFmt w:val="lowerLetter"/>
      <w:lvlText w:val="%8."/>
      <w:lvlJc w:val="left"/>
      <w:pPr>
        <w:ind w:left="5760" w:hanging="360"/>
      </w:pPr>
    </w:lvl>
    <w:lvl w:ilvl="8" w:tplc="7BC23186">
      <w:start w:val="1"/>
      <w:numFmt w:val="lowerRoman"/>
      <w:lvlText w:val="%9."/>
      <w:lvlJc w:val="right"/>
      <w:pPr>
        <w:ind w:left="6480" w:hanging="180"/>
      </w:pPr>
    </w:lvl>
  </w:abstractNum>
  <w:abstractNum w:abstractNumId="7" w15:restartNumberingAfterBreak="0">
    <w:nsid w:val="51D94A23"/>
    <w:multiLevelType w:val="hybridMultilevel"/>
    <w:tmpl w:val="D01A2232"/>
    <w:lvl w:ilvl="0" w:tplc="40AA068C">
      <w:start w:val="1"/>
      <w:numFmt w:val="decimal"/>
      <w:lvlText w:val="%1."/>
      <w:lvlJc w:val="left"/>
      <w:pPr>
        <w:ind w:left="720" w:hanging="360"/>
      </w:pPr>
    </w:lvl>
    <w:lvl w:ilvl="1" w:tplc="6978A06A">
      <w:start w:val="1"/>
      <w:numFmt w:val="lowerLetter"/>
      <w:lvlText w:val="%2."/>
      <w:lvlJc w:val="left"/>
      <w:pPr>
        <w:ind w:left="1440" w:hanging="360"/>
      </w:pPr>
    </w:lvl>
    <w:lvl w:ilvl="2" w:tplc="AAF8831C">
      <w:start w:val="1"/>
      <w:numFmt w:val="lowerRoman"/>
      <w:lvlText w:val="%3."/>
      <w:lvlJc w:val="right"/>
      <w:pPr>
        <w:ind w:left="2160" w:hanging="180"/>
      </w:pPr>
    </w:lvl>
    <w:lvl w:ilvl="3" w:tplc="341215C4">
      <w:start w:val="1"/>
      <w:numFmt w:val="decimal"/>
      <w:lvlText w:val="%4."/>
      <w:lvlJc w:val="left"/>
      <w:pPr>
        <w:ind w:left="2880" w:hanging="360"/>
      </w:pPr>
    </w:lvl>
    <w:lvl w:ilvl="4" w:tplc="74F0A890">
      <w:start w:val="1"/>
      <w:numFmt w:val="lowerLetter"/>
      <w:lvlText w:val="%5."/>
      <w:lvlJc w:val="left"/>
      <w:pPr>
        <w:ind w:left="3600" w:hanging="360"/>
      </w:pPr>
    </w:lvl>
    <w:lvl w:ilvl="5" w:tplc="30045F48">
      <w:start w:val="1"/>
      <w:numFmt w:val="lowerRoman"/>
      <w:lvlText w:val="%6."/>
      <w:lvlJc w:val="right"/>
      <w:pPr>
        <w:ind w:left="4320" w:hanging="180"/>
      </w:pPr>
    </w:lvl>
    <w:lvl w:ilvl="6" w:tplc="9FF645B6">
      <w:start w:val="1"/>
      <w:numFmt w:val="decimal"/>
      <w:lvlText w:val="%7."/>
      <w:lvlJc w:val="left"/>
      <w:pPr>
        <w:ind w:left="5040" w:hanging="360"/>
      </w:pPr>
    </w:lvl>
    <w:lvl w:ilvl="7" w:tplc="E7A09868">
      <w:start w:val="1"/>
      <w:numFmt w:val="lowerLetter"/>
      <w:lvlText w:val="%8."/>
      <w:lvlJc w:val="left"/>
      <w:pPr>
        <w:ind w:left="5760" w:hanging="360"/>
      </w:pPr>
    </w:lvl>
    <w:lvl w:ilvl="8" w:tplc="39E46494">
      <w:start w:val="1"/>
      <w:numFmt w:val="lowerRoman"/>
      <w:lvlText w:val="%9."/>
      <w:lvlJc w:val="right"/>
      <w:pPr>
        <w:ind w:left="6480" w:hanging="180"/>
      </w:pPr>
    </w:lvl>
  </w:abstractNum>
  <w:abstractNum w:abstractNumId="8" w15:restartNumberingAfterBreak="0">
    <w:nsid w:val="70FD7308"/>
    <w:multiLevelType w:val="hybridMultilevel"/>
    <w:tmpl w:val="1D303312"/>
    <w:lvl w:ilvl="0" w:tplc="4AD89120">
      <w:start w:val="2"/>
      <w:numFmt w:val="decimal"/>
      <w:lvlText w:val="%1"/>
      <w:lvlJc w:val="left"/>
      <w:pPr>
        <w:ind w:left="720" w:hanging="360"/>
      </w:pPr>
      <w:rPr>
        <w:b w:val="0"/>
      </w:rPr>
    </w:lvl>
    <w:lvl w:ilvl="1" w:tplc="DE26E532">
      <w:start w:val="1"/>
      <w:numFmt w:val="lowerLetter"/>
      <w:lvlText w:val="%2."/>
      <w:lvlJc w:val="left"/>
      <w:pPr>
        <w:ind w:left="1440" w:hanging="360"/>
      </w:pPr>
    </w:lvl>
    <w:lvl w:ilvl="2" w:tplc="6A2EEF76" w:tentative="1">
      <w:start w:val="1"/>
      <w:numFmt w:val="lowerRoman"/>
      <w:lvlText w:val="%3."/>
      <w:lvlJc w:val="right"/>
      <w:pPr>
        <w:ind w:left="2160" w:hanging="180"/>
      </w:pPr>
    </w:lvl>
    <w:lvl w:ilvl="3" w:tplc="4962BA44" w:tentative="1">
      <w:start w:val="1"/>
      <w:numFmt w:val="decimal"/>
      <w:lvlText w:val="%4."/>
      <w:lvlJc w:val="left"/>
      <w:pPr>
        <w:ind w:left="2880" w:hanging="360"/>
      </w:pPr>
    </w:lvl>
    <w:lvl w:ilvl="4" w:tplc="6BB45A94" w:tentative="1">
      <w:start w:val="1"/>
      <w:numFmt w:val="lowerLetter"/>
      <w:lvlText w:val="%5."/>
      <w:lvlJc w:val="left"/>
      <w:pPr>
        <w:ind w:left="3600" w:hanging="360"/>
      </w:pPr>
    </w:lvl>
    <w:lvl w:ilvl="5" w:tplc="543E50AC" w:tentative="1">
      <w:start w:val="1"/>
      <w:numFmt w:val="lowerRoman"/>
      <w:lvlText w:val="%6."/>
      <w:lvlJc w:val="right"/>
      <w:pPr>
        <w:ind w:left="4320" w:hanging="180"/>
      </w:pPr>
    </w:lvl>
    <w:lvl w:ilvl="6" w:tplc="2D9C3EE8" w:tentative="1">
      <w:start w:val="1"/>
      <w:numFmt w:val="decimal"/>
      <w:lvlText w:val="%7."/>
      <w:lvlJc w:val="left"/>
      <w:pPr>
        <w:ind w:left="5040" w:hanging="360"/>
      </w:pPr>
    </w:lvl>
    <w:lvl w:ilvl="7" w:tplc="B432924A" w:tentative="1">
      <w:start w:val="1"/>
      <w:numFmt w:val="lowerLetter"/>
      <w:lvlText w:val="%8."/>
      <w:lvlJc w:val="left"/>
      <w:pPr>
        <w:ind w:left="5760" w:hanging="360"/>
      </w:pPr>
    </w:lvl>
    <w:lvl w:ilvl="8" w:tplc="C598F254" w:tentative="1">
      <w:start w:val="1"/>
      <w:numFmt w:val="lowerRoman"/>
      <w:lvlText w:val="%9."/>
      <w:lvlJc w:val="right"/>
      <w:pPr>
        <w:ind w:left="6480" w:hanging="180"/>
      </w:pPr>
    </w:lvl>
  </w:abstractNum>
  <w:num w:numId="1" w16cid:durableId="112751911">
    <w:abstractNumId w:val="1"/>
  </w:num>
  <w:num w:numId="2" w16cid:durableId="2003501849">
    <w:abstractNumId w:val="2"/>
  </w:num>
  <w:num w:numId="3" w16cid:durableId="1184057141">
    <w:abstractNumId w:val="0"/>
  </w:num>
  <w:num w:numId="4" w16cid:durableId="1949193064">
    <w:abstractNumId w:val="7"/>
  </w:num>
  <w:num w:numId="5" w16cid:durableId="2026049808">
    <w:abstractNumId w:val="8"/>
  </w:num>
  <w:num w:numId="6" w16cid:durableId="486046519">
    <w:abstractNumId w:val="3"/>
  </w:num>
  <w:num w:numId="7" w16cid:durableId="436026462">
    <w:abstractNumId w:val="5"/>
  </w:num>
  <w:num w:numId="8" w16cid:durableId="1747923653">
    <w:abstractNumId w:val="6"/>
  </w:num>
  <w:num w:numId="9" w16cid:durableId="166003987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A3D"/>
    <w:rsid w:val="0000034C"/>
    <w:rsid w:val="00000A6A"/>
    <w:rsid w:val="000010E7"/>
    <w:rsid w:val="00001432"/>
    <w:rsid w:val="00001C6C"/>
    <w:rsid w:val="00002893"/>
    <w:rsid w:val="0000337F"/>
    <w:rsid w:val="000037A6"/>
    <w:rsid w:val="00003CA5"/>
    <w:rsid w:val="000042F9"/>
    <w:rsid w:val="00004C6A"/>
    <w:rsid w:val="00005153"/>
    <w:rsid w:val="00006C9C"/>
    <w:rsid w:val="00010259"/>
    <w:rsid w:val="0001044C"/>
    <w:rsid w:val="00010ACF"/>
    <w:rsid w:val="000111CF"/>
    <w:rsid w:val="0001133B"/>
    <w:rsid w:val="000119C2"/>
    <w:rsid w:val="00011E83"/>
    <w:rsid w:val="00012173"/>
    <w:rsid w:val="0001273F"/>
    <w:rsid w:val="00012AB1"/>
    <w:rsid w:val="00012C97"/>
    <w:rsid w:val="00012FBC"/>
    <w:rsid w:val="00014F92"/>
    <w:rsid w:val="000150E1"/>
    <w:rsid w:val="000155C3"/>
    <w:rsid w:val="0001628F"/>
    <w:rsid w:val="00016CEC"/>
    <w:rsid w:val="00017367"/>
    <w:rsid w:val="0001760F"/>
    <w:rsid w:val="00017A73"/>
    <w:rsid w:val="00017DA8"/>
    <w:rsid w:val="00017DED"/>
    <w:rsid w:val="00017E8B"/>
    <w:rsid w:val="00017F80"/>
    <w:rsid w:val="00020096"/>
    <w:rsid w:val="00020713"/>
    <w:rsid w:val="00020B20"/>
    <w:rsid w:val="00020DCC"/>
    <w:rsid w:val="000212AE"/>
    <w:rsid w:val="0002134B"/>
    <w:rsid w:val="000219FB"/>
    <w:rsid w:val="00022584"/>
    <w:rsid w:val="00022671"/>
    <w:rsid w:val="00022A0A"/>
    <w:rsid w:val="000238BB"/>
    <w:rsid w:val="00023B62"/>
    <w:rsid w:val="00024CD6"/>
    <w:rsid w:val="00025973"/>
    <w:rsid w:val="00025CB6"/>
    <w:rsid w:val="00025FA2"/>
    <w:rsid w:val="00026F5D"/>
    <w:rsid w:val="00026FB3"/>
    <w:rsid w:val="00027123"/>
    <w:rsid w:val="0002727C"/>
    <w:rsid w:val="000275BD"/>
    <w:rsid w:val="00027CEC"/>
    <w:rsid w:val="00027F4A"/>
    <w:rsid w:val="0003015D"/>
    <w:rsid w:val="00030E36"/>
    <w:rsid w:val="00031A52"/>
    <w:rsid w:val="000341FF"/>
    <w:rsid w:val="0003467E"/>
    <w:rsid w:val="00034850"/>
    <w:rsid w:val="00034EBB"/>
    <w:rsid w:val="0003509C"/>
    <w:rsid w:val="0003525B"/>
    <w:rsid w:val="000353D2"/>
    <w:rsid w:val="000357B0"/>
    <w:rsid w:val="00036087"/>
    <w:rsid w:val="00036459"/>
    <w:rsid w:val="000365A6"/>
    <w:rsid w:val="000369FB"/>
    <w:rsid w:val="00036C8A"/>
    <w:rsid w:val="0004181A"/>
    <w:rsid w:val="00041856"/>
    <w:rsid w:val="000418E3"/>
    <w:rsid w:val="00041D3E"/>
    <w:rsid w:val="000420AD"/>
    <w:rsid w:val="00043385"/>
    <w:rsid w:val="00043EE7"/>
    <w:rsid w:val="00045123"/>
    <w:rsid w:val="000452AB"/>
    <w:rsid w:val="000459F9"/>
    <w:rsid w:val="00047BB8"/>
    <w:rsid w:val="00050019"/>
    <w:rsid w:val="000504C1"/>
    <w:rsid w:val="000505D3"/>
    <w:rsid w:val="00050E99"/>
    <w:rsid w:val="00051426"/>
    <w:rsid w:val="000524BD"/>
    <w:rsid w:val="00052853"/>
    <w:rsid w:val="00052C06"/>
    <w:rsid w:val="0005334E"/>
    <w:rsid w:val="0005392F"/>
    <w:rsid w:val="00053A23"/>
    <w:rsid w:val="00054200"/>
    <w:rsid w:val="00054BB3"/>
    <w:rsid w:val="00054F1F"/>
    <w:rsid w:val="000559A6"/>
    <w:rsid w:val="000563AB"/>
    <w:rsid w:val="000563DC"/>
    <w:rsid w:val="000563F6"/>
    <w:rsid w:val="00056788"/>
    <w:rsid w:val="00056AD4"/>
    <w:rsid w:val="00056B99"/>
    <w:rsid w:val="00056BE6"/>
    <w:rsid w:val="00057825"/>
    <w:rsid w:val="00057A0D"/>
    <w:rsid w:val="0006096D"/>
    <w:rsid w:val="00061CCD"/>
    <w:rsid w:val="00062045"/>
    <w:rsid w:val="00062084"/>
    <w:rsid w:val="00063700"/>
    <w:rsid w:val="00063B47"/>
    <w:rsid w:val="00063B89"/>
    <w:rsid w:val="000645C2"/>
    <w:rsid w:val="00064676"/>
    <w:rsid w:val="000646A1"/>
    <w:rsid w:val="00064BE9"/>
    <w:rsid w:val="00064E69"/>
    <w:rsid w:val="00065621"/>
    <w:rsid w:val="00065C30"/>
    <w:rsid w:val="00065C98"/>
    <w:rsid w:val="00070AEC"/>
    <w:rsid w:val="00070E25"/>
    <w:rsid w:val="000713BD"/>
    <w:rsid w:val="0007165A"/>
    <w:rsid w:val="0007239C"/>
    <w:rsid w:val="00072775"/>
    <w:rsid w:val="000742D3"/>
    <w:rsid w:val="0007465B"/>
    <w:rsid w:val="00074CD9"/>
    <w:rsid w:val="00074EC0"/>
    <w:rsid w:val="00075027"/>
    <w:rsid w:val="0007679B"/>
    <w:rsid w:val="000770E6"/>
    <w:rsid w:val="000776B6"/>
    <w:rsid w:val="00077B59"/>
    <w:rsid w:val="000801F9"/>
    <w:rsid w:val="0008077E"/>
    <w:rsid w:val="00080B6D"/>
    <w:rsid w:val="00081C3B"/>
    <w:rsid w:val="00081CB9"/>
    <w:rsid w:val="00081D0F"/>
    <w:rsid w:val="00082472"/>
    <w:rsid w:val="00082BFF"/>
    <w:rsid w:val="00082C40"/>
    <w:rsid w:val="000835A2"/>
    <w:rsid w:val="0008381E"/>
    <w:rsid w:val="00084498"/>
    <w:rsid w:val="0008486D"/>
    <w:rsid w:val="00084993"/>
    <w:rsid w:val="00085BBD"/>
    <w:rsid w:val="0008607C"/>
    <w:rsid w:val="000864CE"/>
    <w:rsid w:val="00086C29"/>
    <w:rsid w:val="00086F92"/>
    <w:rsid w:val="000871E5"/>
    <w:rsid w:val="00087531"/>
    <w:rsid w:val="00087FF9"/>
    <w:rsid w:val="00090DB2"/>
    <w:rsid w:val="000916A8"/>
    <w:rsid w:val="00091A58"/>
    <w:rsid w:val="00091D3C"/>
    <w:rsid w:val="00091D61"/>
    <w:rsid w:val="00092018"/>
    <w:rsid w:val="000922EB"/>
    <w:rsid w:val="0009261C"/>
    <w:rsid w:val="0009359B"/>
    <w:rsid w:val="00093738"/>
    <w:rsid w:val="000939CB"/>
    <w:rsid w:val="00093E9A"/>
    <w:rsid w:val="00093F0A"/>
    <w:rsid w:val="00093F0B"/>
    <w:rsid w:val="00093FC9"/>
    <w:rsid w:val="000946E0"/>
    <w:rsid w:val="00095458"/>
    <w:rsid w:val="00095B4B"/>
    <w:rsid w:val="00096678"/>
    <w:rsid w:val="000967CE"/>
    <w:rsid w:val="00096C86"/>
    <w:rsid w:val="00097DF9"/>
    <w:rsid w:val="00097E9F"/>
    <w:rsid w:val="000A09EE"/>
    <w:rsid w:val="000A111B"/>
    <w:rsid w:val="000A1629"/>
    <w:rsid w:val="000A16A3"/>
    <w:rsid w:val="000A1A1B"/>
    <w:rsid w:val="000A1C21"/>
    <w:rsid w:val="000A2617"/>
    <w:rsid w:val="000A2E02"/>
    <w:rsid w:val="000A3070"/>
    <w:rsid w:val="000A309A"/>
    <w:rsid w:val="000A30C5"/>
    <w:rsid w:val="000A33EC"/>
    <w:rsid w:val="000A36E9"/>
    <w:rsid w:val="000A3EC0"/>
    <w:rsid w:val="000A424E"/>
    <w:rsid w:val="000A430C"/>
    <w:rsid w:val="000A485F"/>
    <w:rsid w:val="000A4EFA"/>
    <w:rsid w:val="000A5233"/>
    <w:rsid w:val="000A6886"/>
    <w:rsid w:val="000A71B4"/>
    <w:rsid w:val="000A7459"/>
    <w:rsid w:val="000A74F0"/>
    <w:rsid w:val="000A77A9"/>
    <w:rsid w:val="000A7FE7"/>
    <w:rsid w:val="000B02A7"/>
    <w:rsid w:val="000B06F9"/>
    <w:rsid w:val="000B0962"/>
    <w:rsid w:val="000B0AC6"/>
    <w:rsid w:val="000B20DF"/>
    <w:rsid w:val="000B2464"/>
    <w:rsid w:val="000B2F68"/>
    <w:rsid w:val="000B32EE"/>
    <w:rsid w:val="000B3A4E"/>
    <w:rsid w:val="000B4B84"/>
    <w:rsid w:val="000B4F68"/>
    <w:rsid w:val="000B508C"/>
    <w:rsid w:val="000B53B1"/>
    <w:rsid w:val="000B5537"/>
    <w:rsid w:val="000B5C66"/>
    <w:rsid w:val="000B60E2"/>
    <w:rsid w:val="000B636E"/>
    <w:rsid w:val="000B6C0F"/>
    <w:rsid w:val="000B6DE2"/>
    <w:rsid w:val="000B742F"/>
    <w:rsid w:val="000B76C4"/>
    <w:rsid w:val="000B7980"/>
    <w:rsid w:val="000B7D1C"/>
    <w:rsid w:val="000C0935"/>
    <w:rsid w:val="000C0B6A"/>
    <w:rsid w:val="000C0C90"/>
    <w:rsid w:val="000C0D3B"/>
    <w:rsid w:val="000C14A7"/>
    <w:rsid w:val="000C1A87"/>
    <w:rsid w:val="000C291E"/>
    <w:rsid w:val="000C2A01"/>
    <w:rsid w:val="000C495A"/>
    <w:rsid w:val="000C4AA0"/>
    <w:rsid w:val="000C50F6"/>
    <w:rsid w:val="000C5111"/>
    <w:rsid w:val="000C5243"/>
    <w:rsid w:val="000C590E"/>
    <w:rsid w:val="000C5E33"/>
    <w:rsid w:val="000C610F"/>
    <w:rsid w:val="000C6484"/>
    <w:rsid w:val="000C69CD"/>
    <w:rsid w:val="000C7022"/>
    <w:rsid w:val="000C74B0"/>
    <w:rsid w:val="000C7756"/>
    <w:rsid w:val="000D02C0"/>
    <w:rsid w:val="000D0543"/>
    <w:rsid w:val="000D07AF"/>
    <w:rsid w:val="000D0C6A"/>
    <w:rsid w:val="000D131B"/>
    <w:rsid w:val="000D157D"/>
    <w:rsid w:val="000D1AC5"/>
    <w:rsid w:val="000D1D7F"/>
    <w:rsid w:val="000D2845"/>
    <w:rsid w:val="000D37F3"/>
    <w:rsid w:val="000D3E3D"/>
    <w:rsid w:val="000D45DC"/>
    <w:rsid w:val="000D4924"/>
    <w:rsid w:val="000D4B9B"/>
    <w:rsid w:val="000D4CB6"/>
    <w:rsid w:val="000D51FC"/>
    <w:rsid w:val="000D56EB"/>
    <w:rsid w:val="000D5794"/>
    <w:rsid w:val="000D5D0F"/>
    <w:rsid w:val="000D5FC3"/>
    <w:rsid w:val="000D668B"/>
    <w:rsid w:val="000D6A30"/>
    <w:rsid w:val="000D7189"/>
    <w:rsid w:val="000D763E"/>
    <w:rsid w:val="000D779B"/>
    <w:rsid w:val="000D7B6C"/>
    <w:rsid w:val="000E0123"/>
    <w:rsid w:val="000E04F2"/>
    <w:rsid w:val="000E0A91"/>
    <w:rsid w:val="000E0DEB"/>
    <w:rsid w:val="000E141F"/>
    <w:rsid w:val="000E1750"/>
    <w:rsid w:val="000E2354"/>
    <w:rsid w:val="000E2B42"/>
    <w:rsid w:val="000E2CD5"/>
    <w:rsid w:val="000E3A0C"/>
    <w:rsid w:val="000E3BB8"/>
    <w:rsid w:val="000E537D"/>
    <w:rsid w:val="000E608B"/>
    <w:rsid w:val="000E7065"/>
    <w:rsid w:val="000E72A8"/>
    <w:rsid w:val="000E7E27"/>
    <w:rsid w:val="000F027F"/>
    <w:rsid w:val="000F0356"/>
    <w:rsid w:val="000F05A2"/>
    <w:rsid w:val="000F091D"/>
    <w:rsid w:val="000F154E"/>
    <w:rsid w:val="000F22C0"/>
    <w:rsid w:val="000F26A3"/>
    <w:rsid w:val="000F2C4A"/>
    <w:rsid w:val="000F355C"/>
    <w:rsid w:val="000F3878"/>
    <w:rsid w:val="000F40AF"/>
    <w:rsid w:val="000F41D9"/>
    <w:rsid w:val="000F4919"/>
    <w:rsid w:val="000F5EF5"/>
    <w:rsid w:val="000F61B7"/>
    <w:rsid w:val="000F64E8"/>
    <w:rsid w:val="000F6632"/>
    <w:rsid w:val="000F700E"/>
    <w:rsid w:val="000F7664"/>
    <w:rsid w:val="000F7FD6"/>
    <w:rsid w:val="00100200"/>
    <w:rsid w:val="00101306"/>
    <w:rsid w:val="001026B0"/>
    <w:rsid w:val="00102722"/>
    <w:rsid w:val="00102AE0"/>
    <w:rsid w:val="00102DF6"/>
    <w:rsid w:val="00102E04"/>
    <w:rsid w:val="0010303B"/>
    <w:rsid w:val="00103264"/>
    <w:rsid w:val="00103981"/>
    <w:rsid w:val="00103B84"/>
    <w:rsid w:val="00103E51"/>
    <w:rsid w:val="0010421F"/>
    <w:rsid w:val="001048EB"/>
    <w:rsid w:val="00104A2A"/>
    <w:rsid w:val="00104DC5"/>
    <w:rsid w:val="00105080"/>
    <w:rsid w:val="00105464"/>
    <w:rsid w:val="00105466"/>
    <w:rsid w:val="00105A92"/>
    <w:rsid w:val="00105EF6"/>
    <w:rsid w:val="0010615F"/>
    <w:rsid w:val="001061B1"/>
    <w:rsid w:val="001064B5"/>
    <w:rsid w:val="00106935"/>
    <w:rsid w:val="00106A33"/>
    <w:rsid w:val="00106AD2"/>
    <w:rsid w:val="00106B62"/>
    <w:rsid w:val="00106E44"/>
    <w:rsid w:val="00110211"/>
    <w:rsid w:val="001108AB"/>
    <w:rsid w:val="00110CC8"/>
    <w:rsid w:val="001111A4"/>
    <w:rsid w:val="00111288"/>
    <w:rsid w:val="001113B8"/>
    <w:rsid w:val="001113FB"/>
    <w:rsid w:val="001118A7"/>
    <w:rsid w:val="00111DB3"/>
    <w:rsid w:val="00111DF5"/>
    <w:rsid w:val="00111DFB"/>
    <w:rsid w:val="00111FBB"/>
    <w:rsid w:val="00113A5E"/>
    <w:rsid w:val="00114167"/>
    <w:rsid w:val="0011452B"/>
    <w:rsid w:val="00114928"/>
    <w:rsid w:val="001152CD"/>
    <w:rsid w:val="00116161"/>
    <w:rsid w:val="0011633C"/>
    <w:rsid w:val="0011633F"/>
    <w:rsid w:val="0011640F"/>
    <w:rsid w:val="0011725B"/>
    <w:rsid w:val="00117BBF"/>
    <w:rsid w:val="0012067A"/>
    <w:rsid w:val="001217CA"/>
    <w:rsid w:val="00121A68"/>
    <w:rsid w:val="00121E83"/>
    <w:rsid w:val="00122932"/>
    <w:rsid w:val="001234D9"/>
    <w:rsid w:val="00123872"/>
    <w:rsid w:val="001238F0"/>
    <w:rsid w:val="00123D4B"/>
    <w:rsid w:val="001240A2"/>
    <w:rsid w:val="0012441F"/>
    <w:rsid w:val="0012483A"/>
    <w:rsid w:val="00124A15"/>
    <w:rsid w:val="00125014"/>
    <w:rsid w:val="00125278"/>
    <w:rsid w:val="001257BA"/>
    <w:rsid w:val="00125D15"/>
    <w:rsid w:val="00125DA1"/>
    <w:rsid w:val="0012730E"/>
    <w:rsid w:val="001277EC"/>
    <w:rsid w:val="001277F3"/>
    <w:rsid w:val="0012798B"/>
    <w:rsid w:val="00127999"/>
    <w:rsid w:val="00127B3E"/>
    <w:rsid w:val="00130193"/>
    <w:rsid w:val="0013069D"/>
    <w:rsid w:val="00131687"/>
    <w:rsid w:val="00132085"/>
    <w:rsid w:val="0013209B"/>
    <w:rsid w:val="00133632"/>
    <w:rsid w:val="00134B3D"/>
    <w:rsid w:val="00134FD0"/>
    <w:rsid w:val="00135581"/>
    <w:rsid w:val="00135861"/>
    <w:rsid w:val="00135A23"/>
    <w:rsid w:val="00135D4D"/>
    <w:rsid w:val="00137323"/>
    <w:rsid w:val="001374C6"/>
    <w:rsid w:val="001377AB"/>
    <w:rsid w:val="001377D3"/>
    <w:rsid w:val="001400AA"/>
    <w:rsid w:val="001403C5"/>
    <w:rsid w:val="00140DA2"/>
    <w:rsid w:val="00140DAB"/>
    <w:rsid w:val="0014108A"/>
    <w:rsid w:val="0014124E"/>
    <w:rsid w:val="00141483"/>
    <w:rsid w:val="00141885"/>
    <w:rsid w:val="00141D85"/>
    <w:rsid w:val="00141D9A"/>
    <w:rsid w:val="00142BD7"/>
    <w:rsid w:val="0014375E"/>
    <w:rsid w:val="00144182"/>
    <w:rsid w:val="00144958"/>
    <w:rsid w:val="00144CEB"/>
    <w:rsid w:val="00144DD4"/>
    <w:rsid w:val="001451E2"/>
    <w:rsid w:val="00145311"/>
    <w:rsid w:val="001458BC"/>
    <w:rsid w:val="00145AF0"/>
    <w:rsid w:val="00146992"/>
    <w:rsid w:val="00146FBF"/>
    <w:rsid w:val="001476DC"/>
    <w:rsid w:val="001477C6"/>
    <w:rsid w:val="00147DA1"/>
    <w:rsid w:val="00150436"/>
    <w:rsid w:val="00150800"/>
    <w:rsid w:val="00150EA9"/>
    <w:rsid w:val="0015163A"/>
    <w:rsid w:val="00151669"/>
    <w:rsid w:val="001527B0"/>
    <w:rsid w:val="00154384"/>
    <w:rsid w:val="00154D69"/>
    <w:rsid w:val="00154E95"/>
    <w:rsid w:val="00155529"/>
    <w:rsid w:val="00155801"/>
    <w:rsid w:val="00155D9F"/>
    <w:rsid w:val="001560EE"/>
    <w:rsid w:val="001564DB"/>
    <w:rsid w:val="001564F4"/>
    <w:rsid w:val="0015669B"/>
    <w:rsid w:val="00157559"/>
    <w:rsid w:val="00157B9A"/>
    <w:rsid w:val="00160148"/>
    <w:rsid w:val="0016076A"/>
    <w:rsid w:val="001610BF"/>
    <w:rsid w:val="001616E8"/>
    <w:rsid w:val="00161A19"/>
    <w:rsid w:val="00161B1F"/>
    <w:rsid w:val="00161C7D"/>
    <w:rsid w:val="00161F15"/>
    <w:rsid w:val="00162438"/>
    <w:rsid w:val="00162898"/>
    <w:rsid w:val="00162F75"/>
    <w:rsid w:val="001632D0"/>
    <w:rsid w:val="0016370C"/>
    <w:rsid w:val="00163B31"/>
    <w:rsid w:val="00164535"/>
    <w:rsid w:val="00164B2F"/>
    <w:rsid w:val="00165245"/>
    <w:rsid w:val="00165336"/>
    <w:rsid w:val="00165985"/>
    <w:rsid w:val="00165C7E"/>
    <w:rsid w:val="00166141"/>
    <w:rsid w:val="001661E3"/>
    <w:rsid w:val="00166EA0"/>
    <w:rsid w:val="001679CE"/>
    <w:rsid w:val="00170BDB"/>
    <w:rsid w:val="00170E57"/>
    <w:rsid w:val="00170EE5"/>
    <w:rsid w:val="0017127E"/>
    <w:rsid w:val="00171893"/>
    <w:rsid w:val="00171B5C"/>
    <w:rsid w:val="0017242C"/>
    <w:rsid w:val="001726AC"/>
    <w:rsid w:val="00172B7A"/>
    <w:rsid w:val="00172BD1"/>
    <w:rsid w:val="00172BEA"/>
    <w:rsid w:val="00172DDF"/>
    <w:rsid w:val="00172FFF"/>
    <w:rsid w:val="0017380C"/>
    <w:rsid w:val="00173ACD"/>
    <w:rsid w:val="00173C04"/>
    <w:rsid w:val="00174139"/>
    <w:rsid w:val="0017442D"/>
    <w:rsid w:val="001747EF"/>
    <w:rsid w:val="00174974"/>
    <w:rsid w:val="00176AB0"/>
    <w:rsid w:val="00176CCB"/>
    <w:rsid w:val="0017776E"/>
    <w:rsid w:val="00177BE1"/>
    <w:rsid w:val="00177D82"/>
    <w:rsid w:val="00180F92"/>
    <w:rsid w:val="0018138E"/>
    <w:rsid w:val="001813EA"/>
    <w:rsid w:val="001814CA"/>
    <w:rsid w:val="00181E41"/>
    <w:rsid w:val="00182F65"/>
    <w:rsid w:val="00183337"/>
    <w:rsid w:val="001836F3"/>
    <w:rsid w:val="00183C05"/>
    <w:rsid w:val="00183F60"/>
    <w:rsid w:val="0018437D"/>
    <w:rsid w:val="00184589"/>
    <w:rsid w:val="00184646"/>
    <w:rsid w:val="00184ED8"/>
    <w:rsid w:val="00185527"/>
    <w:rsid w:val="00186023"/>
    <w:rsid w:val="001865C4"/>
    <w:rsid w:val="00186742"/>
    <w:rsid w:val="0018714B"/>
    <w:rsid w:val="001877F4"/>
    <w:rsid w:val="001878F8"/>
    <w:rsid w:val="0018798F"/>
    <w:rsid w:val="0019001F"/>
    <w:rsid w:val="0019069A"/>
    <w:rsid w:val="00192D59"/>
    <w:rsid w:val="00193A02"/>
    <w:rsid w:val="00193DC6"/>
    <w:rsid w:val="00194160"/>
    <w:rsid w:val="00194308"/>
    <w:rsid w:val="001946E1"/>
    <w:rsid w:val="0019482E"/>
    <w:rsid w:val="00194A15"/>
    <w:rsid w:val="00195DBB"/>
    <w:rsid w:val="001961EF"/>
    <w:rsid w:val="0019676B"/>
    <w:rsid w:val="00196974"/>
    <w:rsid w:val="00196F4C"/>
    <w:rsid w:val="00196FC3"/>
    <w:rsid w:val="0019723C"/>
    <w:rsid w:val="001A0031"/>
    <w:rsid w:val="001A12FA"/>
    <w:rsid w:val="001A1320"/>
    <w:rsid w:val="001A14D8"/>
    <w:rsid w:val="001A1504"/>
    <w:rsid w:val="001A1669"/>
    <w:rsid w:val="001A2F5C"/>
    <w:rsid w:val="001A30F6"/>
    <w:rsid w:val="001A3356"/>
    <w:rsid w:val="001A3913"/>
    <w:rsid w:val="001A4141"/>
    <w:rsid w:val="001A4546"/>
    <w:rsid w:val="001A4BA9"/>
    <w:rsid w:val="001A4E71"/>
    <w:rsid w:val="001A505C"/>
    <w:rsid w:val="001A5626"/>
    <w:rsid w:val="001A59A4"/>
    <w:rsid w:val="001A6384"/>
    <w:rsid w:val="001A672A"/>
    <w:rsid w:val="001A683F"/>
    <w:rsid w:val="001A6978"/>
    <w:rsid w:val="001A724E"/>
    <w:rsid w:val="001A7331"/>
    <w:rsid w:val="001A73D7"/>
    <w:rsid w:val="001A7EBC"/>
    <w:rsid w:val="001B04E6"/>
    <w:rsid w:val="001B1B8D"/>
    <w:rsid w:val="001B1BFA"/>
    <w:rsid w:val="001B1D62"/>
    <w:rsid w:val="001B22A6"/>
    <w:rsid w:val="001B2E3D"/>
    <w:rsid w:val="001B2FF7"/>
    <w:rsid w:val="001B3293"/>
    <w:rsid w:val="001B3822"/>
    <w:rsid w:val="001B3B2A"/>
    <w:rsid w:val="001B3FF5"/>
    <w:rsid w:val="001B4FB2"/>
    <w:rsid w:val="001B56E8"/>
    <w:rsid w:val="001B5781"/>
    <w:rsid w:val="001B5AE7"/>
    <w:rsid w:val="001B5CDC"/>
    <w:rsid w:val="001B6701"/>
    <w:rsid w:val="001B682C"/>
    <w:rsid w:val="001B69E3"/>
    <w:rsid w:val="001B6B73"/>
    <w:rsid w:val="001B6C12"/>
    <w:rsid w:val="001B6CF0"/>
    <w:rsid w:val="001B6FF2"/>
    <w:rsid w:val="001B7126"/>
    <w:rsid w:val="001B7174"/>
    <w:rsid w:val="001B79B9"/>
    <w:rsid w:val="001C0235"/>
    <w:rsid w:val="001C03A0"/>
    <w:rsid w:val="001C059B"/>
    <w:rsid w:val="001C0D3A"/>
    <w:rsid w:val="001C0DCA"/>
    <w:rsid w:val="001C0FC7"/>
    <w:rsid w:val="001C174A"/>
    <w:rsid w:val="001C1D89"/>
    <w:rsid w:val="001C292B"/>
    <w:rsid w:val="001C2C2A"/>
    <w:rsid w:val="001C2F15"/>
    <w:rsid w:val="001C3088"/>
    <w:rsid w:val="001C3319"/>
    <w:rsid w:val="001C3353"/>
    <w:rsid w:val="001C365A"/>
    <w:rsid w:val="001C3DB8"/>
    <w:rsid w:val="001C499E"/>
    <w:rsid w:val="001C57CC"/>
    <w:rsid w:val="001C5837"/>
    <w:rsid w:val="001C6403"/>
    <w:rsid w:val="001C67E5"/>
    <w:rsid w:val="001C6C5F"/>
    <w:rsid w:val="001C70D2"/>
    <w:rsid w:val="001C7656"/>
    <w:rsid w:val="001C7A59"/>
    <w:rsid w:val="001C7AAC"/>
    <w:rsid w:val="001C7C3B"/>
    <w:rsid w:val="001D028C"/>
    <w:rsid w:val="001D0DF4"/>
    <w:rsid w:val="001D0ECD"/>
    <w:rsid w:val="001D11A1"/>
    <w:rsid w:val="001D1511"/>
    <w:rsid w:val="001D1E7F"/>
    <w:rsid w:val="001D2794"/>
    <w:rsid w:val="001D2F72"/>
    <w:rsid w:val="001D3871"/>
    <w:rsid w:val="001D4099"/>
    <w:rsid w:val="001D42F8"/>
    <w:rsid w:val="001D44E1"/>
    <w:rsid w:val="001D45CA"/>
    <w:rsid w:val="001D5CA8"/>
    <w:rsid w:val="001D6C50"/>
    <w:rsid w:val="001D6DE2"/>
    <w:rsid w:val="001D7270"/>
    <w:rsid w:val="001D7F3E"/>
    <w:rsid w:val="001D7F46"/>
    <w:rsid w:val="001E0FD5"/>
    <w:rsid w:val="001E2007"/>
    <w:rsid w:val="001E2440"/>
    <w:rsid w:val="001E3118"/>
    <w:rsid w:val="001E35DA"/>
    <w:rsid w:val="001E3AF1"/>
    <w:rsid w:val="001E3D14"/>
    <w:rsid w:val="001E3EA2"/>
    <w:rsid w:val="001E4E0F"/>
    <w:rsid w:val="001E5151"/>
    <w:rsid w:val="001E55ED"/>
    <w:rsid w:val="001E57D4"/>
    <w:rsid w:val="001E58CF"/>
    <w:rsid w:val="001E5A1B"/>
    <w:rsid w:val="001E5C24"/>
    <w:rsid w:val="001E5DB1"/>
    <w:rsid w:val="001E68F3"/>
    <w:rsid w:val="001E6A9B"/>
    <w:rsid w:val="001E7628"/>
    <w:rsid w:val="001E777C"/>
    <w:rsid w:val="001F0FD9"/>
    <w:rsid w:val="001F14A9"/>
    <w:rsid w:val="001F2755"/>
    <w:rsid w:val="001F2D07"/>
    <w:rsid w:val="001F2FE3"/>
    <w:rsid w:val="001F31E2"/>
    <w:rsid w:val="001F3B23"/>
    <w:rsid w:val="001F449B"/>
    <w:rsid w:val="001F44BB"/>
    <w:rsid w:val="001F45DA"/>
    <w:rsid w:val="001F45ED"/>
    <w:rsid w:val="001F4A22"/>
    <w:rsid w:val="001F4FA5"/>
    <w:rsid w:val="001F5DD5"/>
    <w:rsid w:val="001F5E1B"/>
    <w:rsid w:val="001F622F"/>
    <w:rsid w:val="001F66C6"/>
    <w:rsid w:val="001F69BE"/>
    <w:rsid w:val="001F69C2"/>
    <w:rsid w:val="001F6D81"/>
    <w:rsid w:val="001F7531"/>
    <w:rsid w:val="001F7687"/>
    <w:rsid w:val="001F77FF"/>
    <w:rsid w:val="001F7C9B"/>
    <w:rsid w:val="00200139"/>
    <w:rsid w:val="002003DC"/>
    <w:rsid w:val="00200487"/>
    <w:rsid w:val="00200526"/>
    <w:rsid w:val="002005A1"/>
    <w:rsid w:val="00200BF5"/>
    <w:rsid w:val="00200F38"/>
    <w:rsid w:val="00201089"/>
    <w:rsid w:val="00201DB6"/>
    <w:rsid w:val="0020200F"/>
    <w:rsid w:val="00202145"/>
    <w:rsid w:val="002029E6"/>
    <w:rsid w:val="00202D1A"/>
    <w:rsid w:val="00202DE3"/>
    <w:rsid w:val="002030BF"/>
    <w:rsid w:val="002030CD"/>
    <w:rsid w:val="002043F7"/>
    <w:rsid w:val="002054A9"/>
    <w:rsid w:val="002059F2"/>
    <w:rsid w:val="00205B95"/>
    <w:rsid w:val="00206136"/>
    <w:rsid w:val="00206179"/>
    <w:rsid w:val="002063C9"/>
    <w:rsid w:val="00206768"/>
    <w:rsid w:val="002067E6"/>
    <w:rsid w:val="002068AA"/>
    <w:rsid w:val="00207243"/>
    <w:rsid w:val="0020790A"/>
    <w:rsid w:val="00207FD1"/>
    <w:rsid w:val="00210555"/>
    <w:rsid w:val="0021055E"/>
    <w:rsid w:val="002106A6"/>
    <w:rsid w:val="00210740"/>
    <w:rsid w:val="00210C0D"/>
    <w:rsid w:val="00210D6C"/>
    <w:rsid w:val="00211B75"/>
    <w:rsid w:val="002121E7"/>
    <w:rsid w:val="00212ECB"/>
    <w:rsid w:val="00212FD9"/>
    <w:rsid w:val="0021345D"/>
    <w:rsid w:val="002134A4"/>
    <w:rsid w:val="00213AD8"/>
    <w:rsid w:val="00213ADD"/>
    <w:rsid w:val="00213E8E"/>
    <w:rsid w:val="00214209"/>
    <w:rsid w:val="002146A7"/>
    <w:rsid w:val="0021480E"/>
    <w:rsid w:val="00214AC9"/>
    <w:rsid w:val="00214BFF"/>
    <w:rsid w:val="0021503C"/>
    <w:rsid w:val="00215CAB"/>
    <w:rsid w:val="00216166"/>
    <w:rsid w:val="0021646E"/>
    <w:rsid w:val="0021663C"/>
    <w:rsid w:val="00216D1B"/>
    <w:rsid w:val="002170E7"/>
    <w:rsid w:val="002177DD"/>
    <w:rsid w:val="002179C0"/>
    <w:rsid w:val="00217B85"/>
    <w:rsid w:val="00217BD7"/>
    <w:rsid w:val="00217C6F"/>
    <w:rsid w:val="00220211"/>
    <w:rsid w:val="002205E9"/>
    <w:rsid w:val="002209DE"/>
    <w:rsid w:val="00220C91"/>
    <w:rsid w:val="00220D64"/>
    <w:rsid w:val="00220D9D"/>
    <w:rsid w:val="00221026"/>
    <w:rsid w:val="0022184D"/>
    <w:rsid w:val="00221934"/>
    <w:rsid w:val="00221F5A"/>
    <w:rsid w:val="002220B4"/>
    <w:rsid w:val="00222270"/>
    <w:rsid w:val="0022247B"/>
    <w:rsid w:val="00222ACD"/>
    <w:rsid w:val="00222C9D"/>
    <w:rsid w:val="002232FF"/>
    <w:rsid w:val="00223435"/>
    <w:rsid w:val="00223594"/>
    <w:rsid w:val="002236FC"/>
    <w:rsid w:val="002238D8"/>
    <w:rsid w:val="00223942"/>
    <w:rsid w:val="0022417E"/>
    <w:rsid w:val="00224593"/>
    <w:rsid w:val="00224A01"/>
    <w:rsid w:val="00224F5C"/>
    <w:rsid w:val="0022516C"/>
    <w:rsid w:val="002251B6"/>
    <w:rsid w:val="00225408"/>
    <w:rsid w:val="002254F4"/>
    <w:rsid w:val="00225CFB"/>
    <w:rsid w:val="00225D29"/>
    <w:rsid w:val="002262A0"/>
    <w:rsid w:val="002264B3"/>
    <w:rsid w:val="00226500"/>
    <w:rsid w:val="00226C00"/>
    <w:rsid w:val="00226C45"/>
    <w:rsid w:val="00226D95"/>
    <w:rsid w:val="002272A1"/>
    <w:rsid w:val="00227798"/>
    <w:rsid w:val="00227BDA"/>
    <w:rsid w:val="00227CE5"/>
    <w:rsid w:val="002310C0"/>
    <w:rsid w:val="002312C9"/>
    <w:rsid w:val="002314FD"/>
    <w:rsid w:val="00231AB5"/>
    <w:rsid w:val="0023243B"/>
    <w:rsid w:val="00232ABE"/>
    <w:rsid w:val="00233084"/>
    <w:rsid w:val="00233108"/>
    <w:rsid w:val="00233748"/>
    <w:rsid w:val="002337D8"/>
    <w:rsid w:val="00233A7F"/>
    <w:rsid w:val="00233D8E"/>
    <w:rsid w:val="00234346"/>
    <w:rsid w:val="0023505F"/>
    <w:rsid w:val="002353EB"/>
    <w:rsid w:val="00235768"/>
    <w:rsid w:val="00235EFA"/>
    <w:rsid w:val="00236959"/>
    <w:rsid w:val="002369F9"/>
    <w:rsid w:val="00236E10"/>
    <w:rsid w:val="00236EFB"/>
    <w:rsid w:val="00236FC2"/>
    <w:rsid w:val="00237331"/>
    <w:rsid w:val="00237A74"/>
    <w:rsid w:val="00237B7B"/>
    <w:rsid w:val="00237E1B"/>
    <w:rsid w:val="002403EB"/>
    <w:rsid w:val="00240C37"/>
    <w:rsid w:val="00241020"/>
    <w:rsid w:val="002410E3"/>
    <w:rsid w:val="00241533"/>
    <w:rsid w:val="0024183F"/>
    <w:rsid w:val="00241888"/>
    <w:rsid w:val="00241C4D"/>
    <w:rsid w:val="002420F1"/>
    <w:rsid w:val="00242226"/>
    <w:rsid w:val="00242430"/>
    <w:rsid w:val="00242511"/>
    <w:rsid w:val="002425AC"/>
    <w:rsid w:val="00242D29"/>
    <w:rsid w:val="00242EEF"/>
    <w:rsid w:val="00243066"/>
    <w:rsid w:val="00244A4D"/>
    <w:rsid w:val="0024516A"/>
    <w:rsid w:val="0024552A"/>
    <w:rsid w:val="00245789"/>
    <w:rsid w:val="0024623A"/>
    <w:rsid w:val="00246573"/>
    <w:rsid w:val="00246717"/>
    <w:rsid w:val="002469BB"/>
    <w:rsid w:val="00246BBF"/>
    <w:rsid w:val="002471CB"/>
    <w:rsid w:val="0024796D"/>
    <w:rsid w:val="00250B87"/>
    <w:rsid w:val="00250E36"/>
    <w:rsid w:val="002514A8"/>
    <w:rsid w:val="00251BF2"/>
    <w:rsid w:val="00251C7E"/>
    <w:rsid w:val="002525A7"/>
    <w:rsid w:val="00252786"/>
    <w:rsid w:val="002532D5"/>
    <w:rsid w:val="002532E6"/>
    <w:rsid w:val="002535E8"/>
    <w:rsid w:val="002536E2"/>
    <w:rsid w:val="0025380D"/>
    <w:rsid w:val="002540FC"/>
    <w:rsid w:val="002542F0"/>
    <w:rsid w:val="002545BE"/>
    <w:rsid w:val="00254B89"/>
    <w:rsid w:val="00254F6F"/>
    <w:rsid w:val="0025509F"/>
    <w:rsid w:val="002550B9"/>
    <w:rsid w:val="002551D2"/>
    <w:rsid w:val="0025531D"/>
    <w:rsid w:val="002554C2"/>
    <w:rsid w:val="00255E1F"/>
    <w:rsid w:val="00255F2D"/>
    <w:rsid w:val="002563BC"/>
    <w:rsid w:val="00256623"/>
    <w:rsid w:val="002568B0"/>
    <w:rsid w:val="00256E41"/>
    <w:rsid w:val="00257370"/>
    <w:rsid w:val="0025778F"/>
    <w:rsid w:val="0026028D"/>
    <w:rsid w:val="002606E6"/>
    <w:rsid w:val="002608C7"/>
    <w:rsid w:val="0026101F"/>
    <w:rsid w:val="00261178"/>
    <w:rsid w:val="002614E0"/>
    <w:rsid w:val="00261B05"/>
    <w:rsid w:val="0026262F"/>
    <w:rsid w:val="0026274B"/>
    <w:rsid w:val="00262958"/>
    <w:rsid w:val="00262987"/>
    <w:rsid w:val="00262CAB"/>
    <w:rsid w:val="00262F99"/>
    <w:rsid w:val="002635F0"/>
    <w:rsid w:val="002639CB"/>
    <w:rsid w:val="00263C9F"/>
    <w:rsid w:val="00263E60"/>
    <w:rsid w:val="00264316"/>
    <w:rsid w:val="0026436C"/>
    <w:rsid w:val="00264D5D"/>
    <w:rsid w:val="002657D2"/>
    <w:rsid w:val="0026645B"/>
    <w:rsid w:val="00266717"/>
    <w:rsid w:val="002667A0"/>
    <w:rsid w:val="002668E5"/>
    <w:rsid w:val="00266E59"/>
    <w:rsid w:val="0026784B"/>
    <w:rsid w:val="00267D89"/>
    <w:rsid w:val="00270FFE"/>
    <w:rsid w:val="0027112A"/>
    <w:rsid w:val="00271364"/>
    <w:rsid w:val="00271692"/>
    <w:rsid w:val="00271806"/>
    <w:rsid w:val="002719FD"/>
    <w:rsid w:val="00272E32"/>
    <w:rsid w:val="00273539"/>
    <w:rsid w:val="00273A72"/>
    <w:rsid w:val="00273DA6"/>
    <w:rsid w:val="00273F9C"/>
    <w:rsid w:val="00274074"/>
    <w:rsid w:val="002748D6"/>
    <w:rsid w:val="00274CA0"/>
    <w:rsid w:val="00274D05"/>
    <w:rsid w:val="002753C7"/>
    <w:rsid w:val="00275FB9"/>
    <w:rsid w:val="002762AE"/>
    <w:rsid w:val="0027643D"/>
    <w:rsid w:val="00276C88"/>
    <w:rsid w:val="002771EA"/>
    <w:rsid w:val="002777BD"/>
    <w:rsid w:val="00277A09"/>
    <w:rsid w:val="00277CF6"/>
    <w:rsid w:val="00277E38"/>
    <w:rsid w:val="0028007B"/>
    <w:rsid w:val="002800E6"/>
    <w:rsid w:val="00280331"/>
    <w:rsid w:val="00280CA4"/>
    <w:rsid w:val="0028114B"/>
    <w:rsid w:val="00281306"/>
    <w:rsid w:val="002817A7"/>
    <w:rsid w:val="00281BB5"/>
    <w:rsid w:val="00282D13"/>
    <w:rsid w:val="0028351E"/>
    <w:rsid w:val="00283B4C"/>
    <w:rsid w:val="00283CF6"/>
    <w:rsid w:val="00284165"/>
    <w:rsid w:val="00284953"/>
    <w:rsid w:val="00284A50"/>
    <w:rsid w:val="00285421"/>
    <w:rsid w:val="002854A0"/>
    <w:rsid w:val="00285796"/>
    <w:rsid w:val="00285AF7"/>
    <w:rsid w:val="00285B76"/>
    <w:rsid w:val="00285DAF"/>
    <w:rsid w:val="002871D2"/>
    <w:rsid w:val="00287750"/>
    <w:rsid w:val="00287B88"/>
    <w:rsid w:val="00290750"/>
    <w:rsid w:val="00290B2C"/>
    <w:rsid w:val="00290EA0"/>
    <w:rsid w:val="00290EE2"/>
    <w:rsid w:val="00291116"/>
    <w:rsid w:val="00291C97"/>
    <w:rsid w:val="0029238E"/>
    <w:rsid w:val="0029256C"/>
    <w:rsid w:val="0029267F"/>
    <w:rsid w:val="00293042"/>
    <w:rsid w:val="00293B87"/>
    <w:rsid w:val="00293D76"/>
    <w:rsid w:val="002942F6"/>
    <w:rsid w:val="00294A56"/>
    <w:rsid w:val="00295C90"/>
    <w:rsid w:val="00296491"/>
    <w:rsid w:val="002964FB"/>
    <w:rsid w:val="002967CE"/>
    <w:rsid w:val="00296C73"/>
    <w:rsid w:val="002971DA"/>
    <w:rsid w:val="00297315"/>
    <w:rsid w:val="002974E3"/>
    <w:rsid w:val="002979CC"/>
    <w:rsid w:val="002A010E"/>
    <w:rsid w:val="002A029B"/>
    <w:rsid w:val="002A12A7"/>
    <w:rsid w:val="002A1599"/>
    <w:rsid w:val="002A1897"/>
    <w:rsid w:val="002A2105"/>
    <w:rsid w:val="002A2333"/>
    <w:rsid w:val="002A252E"/>
    <w:rsid w:val="002A262D"/>
    <w:rsid w:val="002A2B8E"/>
    <w:rsid w:val="002A2E01"/>
    <w:rsid w:val="002A30D0"/>
    <w:rsid w:val="002A3361"/>
    <w:rsid w:val="002A362F"/>
    <w:rsid w:val="002A3D4C"/>
    <w:rsid w:val="002A4BBF"/>
    <w:rsid w:val="002A51F1"/>
    <w:rsid w:val="002A59AB"/>
    <w:rsid w:val="002A5A05"/>
    <w:rsid w:val="002A5DA7"/>
    <w:rsid w:val="002A6957"/>
    <w:rsid w:val="002A6A7C"/>
    <w:rsid w:val="002A72C1"/>
    <w:rsid w:val="002A73D3"/>
    <w:rsid w:val="002A791C"/>
    <w:rsid w:val="002B081A"/>
    <w:rsid w:val="002B126B"/>
    <w:rsid w:val="002B1706"/>
    <w:rsid w:val="002B18CF"/>
    <w:rsid w:val="002B1D64"/>
    <w:rsid w:val="002B26B3"/>
    <w:rsid w:val="002B311A"/>
    <w:rsid w:val="002B3136"/>
    <w:rsid w:val="002B315B"/>
    <w:rsid w:val="002B3376"/>
    <w:rsid w:val="002B391F"/>
    <w:rsid w:val="002B3E36"/>
    <w:rsid w:val="002B42A9"/>
    <w:rsid w:val="002B4356"/>
    <w:rsid w:val="002B447D"/>
    <w:rsid w:val="002B488B"/>
    <w:rsid w:val="002B5275"/>
    <w:rsid w:val="002B538F"/>
    <w:rsid w:val="002B57F1"/>
    <w:rsid w:val="002B640C"/>
    <w:rsid w:val="002B7ABD"/>
    <w:rsid w:val="002B7D75"/>
    <w:rsid w:val="002C001B"/>
    <w:rsid w:val="002C045D"/>
    <w:rsid w:val="002C0C59"/>
    <w:rsid w:val="002C14C2"/>
    <w:rsid w:val="002C156E"/>
    <w:rsid w:val="002C1618"/>
    <w:rsid w:val="002C162F"/>
    <w:rsid w:val="002C1EF6"/>
    <w:rsid w:val="002C24A6"/>
    <w:rsid w:val="002C2585"/>
    <w:rsid w:val="002C2820"/>
    <w:rsid w:val="002C3089"/>
    <w:rsid w:val="002C30B7"/>
    <w:rsid w:val="002C3751"/>
    <w:rsid w:val="002C37D9"/>
    <w:rsid w:val="002C409B"/>
    <w:rsid w:val="002C4743"/>
    <w:rsid w:val="002C5A7E"/>
    <w:rsid w:val="002C620C"/>
    <w:rsid w:val="002C6610"/>
    <w:rsid w:val="002C6898"/>
    <w:rsid w:val="002C6952"/>
    <w:rsid w:val="002C7A56"/>
    <w:rsid w:val="002D0D46"/>
    <w:rsid w:val="002D0E80"/>
    <w:rsid w:val="002D1748"/>
    <w:rsid w:val="002D3227"/>
    <w:rsid w:val="002D42F8"/>
    <w:rsid w:val="002D4399"/>
    <w:rsid w:val="002D44EE"/>
    <w:rsid w:val="002D5323"/>
    <w:rsid w:val="002D5DE6"/>
    <w:rsid w:val="002D5E10"/>
    <w:rsid w:val="002D6B5F"/>
    <w:rsid w:val="002D70D0"/>
    <w:rsid w:val="002E0BC1"/>
    <w:rsid w:val="002E14E4"/>
    <w:rsid w:val="002E1695"/>
    <w:rsid w:val="002E1942"/>
    <w:rsid w:val="002E1CD8"/>
    <w:rsid w:val="002E1FA7"/>
    <w:rsid w:val="002E2B6A"/>
    <w:rsid w:val="002E3448"/>
    <w:rsid w:val="002E37E2"/>
    <w:rsid w:val="002E4188"/>
    <w:rsid w:val="002E45DF"/>
    <w:rsid w:val="002E4619"/>
    <w:rsid w:val="002E4699"/>
    <w:rsid w:val="002E4E3F"/>
    <w:rsid w:val="002E5B7F"/>
    <w:rsid w:val="002E5F25"/>
    <w:rsid w:val="002E5F42"/>
    <w:rsid w:val="002E62E8"/>
    <w:rsid w:val="002E6C4A"/>
    <w:rsid w:val="002E7A10"/>
    <w:rsid w:val="002F00FA"/>
    <w:rsid w:val="002F0B94"/>
    <w:rsid w:val="002F1159"/>
    <w:rsid w:val="002F15EB"/>
    <w:rsid w:val="002F189D"/>
    <w:rsid w:val="002F31F4"/>
    <w:rsid w:val="002F47A9"/>
    <w:rsid w:val="002F4C83"/>
    <w:rsid w:val="002F652B"/>
    <w:rsid w:val="002F6626"/>
    <w:rsid w:val="002F7814"/>
    <w:rsid w:val="002F7B4D"/>
    <w:rsid w:val="0030031F"/>
    <w:rsid w:val="003012A3"/>
    <w:rsid w:val="00301A58"/>
    <w:rsid w:val="0030234B"/>
    <w:rsid w:val="00302A14"/>
    <w:rsid w:val="00302AD4"/>
    <w:rsid w:val="00303142"/>
    <w:rsid w:val="003032A1"/>
    <w:rsid w:val="003032F5"/>
    <w:rsid w:val="003036EE"/>
    <w:rsid w:val="00303A47"/>
    <w:rsid w:val="003042B2"/>
    <w:rsid w:val="00304A11"/>
    <w:rsid w:val="003053F5"/>
    <w:rsid w:val="0030545C"/>
    <w:rsid w:val="00306E6C"/>
    <w:rsid w:val="003073EF"/>
    <w:rsid w:val="0030768D"/>
    <w:rsid w:val="00307B65"/>
    <w:rsid w:val="00307B92"/>
    <w:rsid w:val="00307C56"/>
    <w:rsid w:val="00307F7D"/>
    <w:rsid w:val="00310DA0"/>
    <w:rsid w:val="00311ED0"/>
    <w:rsid w:val="00312140"/>
    <w:rsid w:val="003124A6"/>
    <w:rsid w:val="0031251E"/>
    <w:rsid w:val="00312623"/>
    <w:rsid w:val="00312672"/>
    <w:rsid w:val="00312CB6"/>
    <w:rsid w:val="00312CEB"/>
    <w:rsid w:val="00312D00"/>
    <w:rsid w:val="00312F54"/>
    <w:rsid w:val="00313CA6"/>
    <w:rsid w:val="00314F5F"/>
    <w:rsid w:val="00315071"/>
    <w:rsid w:val="003155AB"/>
    <w:rsid w:val="003156C6"/>
    <w:rsid w:val="00315DA5"/>
    <w:rsid w:val="0031621A"/>
    <w:rsid w:val="00317569"/>
    <w:rsid w:val="00320978"/>
    <w:rsid w:val="00320EDE"/>
    <w:rsid w:val="00321603"/>
    <w:rsid w:val="003224A0"/>
    <w:rsid w:val="00322B0B"/>
    <w:rsid w:val="00323B64"/>
    <w:rsid w:val="00324182"/>
    <w:rsid w:val="0032424D"/>
    <w:rsid w:val="00324444"/>
    <w:rsid w:val="00325142"/>
    <w:rsid w:val="00325494"/>
    <w:rsid w:val="003254FE"/>
    <w:rsid w:val="003261AB"/>
    <w:rsid w:val="0032636E"/>
    <w:rsid w:val="00326749"/>
    <w:rsid w:val="00326977"/>
    <w:rsid w:val="00326E92"/>
    <w:rsid w:val="00327198"/>
    <w:rsid w:val="00327537"/>
    <w:rsid w:val="00327641"/>
    <w:rsid w:val="00327B0C"/>
    <w:rsid w:val="00330AD0"/>
    <w:rsid w:val="00330CBA"/>
    <w:rsid w:val="00332265"/>
    <w:rsid w:val="003322C0"/>
    <w:rsid w:val="00332402"/>
    <w:rsid w:val="003325C0"/>
    <w:rsid w:val="00332D81"/>
    <w:rsid w:val="00333364"/>
    <w:rsid w:val="00333F25"/>
    <w:rsid w:val="0033407C"/>
    <w:rsid w:val="003340E5"/>
    <w:rsid w:val="0033420B"/>
    <w:rsid w:val="003342E2"/>
    <w:rsid w:val="0033478B"/>
    <w:rsid w:val="00334A64"/>
    <w:rsid w:val="00335179"/>
    <w:rsid w:val="003360D3"/>
    <w:rsid w:val="003363CC"/>
    <w:rsid w:val="00336EE7"/>
    <w:rsid w:val="00336F77"/>
    <w:rsid w:val="00337C1D"/>
    <w:rsid w:val="0034020D"/>
    <w:rsid w:val="003409EE"/>
    <w:rsid w:val="00340DE6"/>
    <w:rsid w:val="00342510"/>
    <w:rsid w:val="003427D7"/>
    <w:rsid w:val="00342900"/>
    <w:rsid w:val="00342AD9"/>
    <w:rsid w:val="00342BD1"/>
    <w:rsid w:val="0034342F"/>
    <w:rsid w:val="00343831"/>
    <w:rsid w:val="00344B6B"/>
    <w:rsid w:val="00344D69"/>
    <w:rsid w:val="0034524A"/>
    <w:rsid w:val="003453A4"/>
    <w:rsid w:val="00345984"/>
    <w:rsid w:val="003459A6"/>
    <w:rsid w:val="00345FC5"/>
    <w:rsid w:val="003460FB"/>
    <w:rsid w:val="003462DB"/>
    <w:rsid w:val="003467EE"/>
    <w:rsid w:val="00346C0F"/>
    <w:rsid w:val="00347409"/>
    <w:rsid w:val="00347619"/>
    <w:rsid w:val="00347636"/>
    <w:rsid w:val="00347690"/>
    <w:rsid w:val="00347F0F"/>
    <w:rsid w:val="0035069D"/>
    <w:rsid w:val="003514E7"/>
    <w:rsid w:val="003515E8"/>
    <w:rsid w:val="003516DC"/>
    <w:rsid w:val="0035245F"/>
    <w:rsid w:val="00352A12"/>
    <w:rsid w:val="003532CA"/>
    <w:rsid w:val="0035367F"/>
    <w:rsid w:val="0035425F"/>
    <w:rsid w:val="003545F8"/>
    <w:rsid w:val="00355EEA"/>
    <w:rsid w:val="00356220"/>
    <w:rsid w:val="00356AB6"/>
    <w:rsid w:val="00356D5E"/>
    <w:rsid w:val="0036050A"/>
    <w:rsid w:val="0036094E"/>
    <w:rsid w:val="00360989"/>
    <w:rsid w:val="00360D3D"/>
    <w:rsid w:val="0036167D"/>
    <w:rsid w:val="00361B5B"/>
    <w:rsid w:val="00361BB7"/>
    <w:rsid w:val="00362138"/>
    <w:rsid w:val="003626EC"/>
    <w:rsid w:val="00362F61"/>
    <w:rsid w:val="003643A1"/>
    <w:rsid w:val="0036444D"/>
    <w:rsid w:val="00364837"/>
    <w:rsid w:val="003648C7"/>
    <w:rsid w:val="003659E5"/>
    <w:rsid w:val="00365E4D"/>
    <w:rsid w:val="00365FC2"/>
    <w:rsid w:val="00366808"/>
    <w:rsid w:val="00366819"/>
    <w:rsid w:val="00366B60"/>
    <w:rsid w:val="00366FFD"/>
    <w:rsid w:val="0036777F"/>
    <w:rsid w:val="00367BAD"/>
    <w:rsid w:val="003708A3"/>
    <w:rsid w:val="003708DD"/>
    <w:rsid w:val="00370AA9"/>
    <w:rsid w:val="00370D30"/>
    <w:rsid w:val="00371B78"/>
    <w:rsid w:val="00371E03"/>
    <w:rsid w:val="00372757"/>
    <w:rsid w:val="0037280F"/>
    <w:rsid w:val="00372967"/>
    <w:rsid w:val="00372EE1"/>
    <w:rsid w:val="00373627"/>
    <w:rsid w:val="00373987"/>
    <w:rsid w:val="00373CC3"/>
    <w:rsid w:val="00373E4C"/>
    <w:rsid w:val="0037514A"/>
    <w:rsid w:val="00375384"/>
    <w:rsid w:val="0037566C"/>
    <w:rsid w:val="00375694"/>
    <w:rsid w:val="003759ED"/>
    <w:rsid w:val="00376231"/>
    <w:rsid w:val="003763BC"/>
    <w:rsid w:val="00376837"/>
    <w:rsid w:val="00376CE3"/>
    <w:rsid w:val="00376F3A"/>
    <w:rsid w:val="00377285"/>
    <w:rsid w:val="00377411"/>
    <w:rsid w:val="0037782B"/>
    <w:rsid w:val="00381E47"/>
    <w:rsid w:val="003823DE"/>
    <w:rsid w:val="00382838"/>
    <w:rsid w:val="00382B80"/>
    <w:rsid w:val="00382D93"/>
    <w:rsid w:val="00383A94"/>
    <w:rsid w:val="00383BA4"/>
    <w:rsid w:val="00384151"/>
    <w:rsid w:val="003843C4"/>
    <w:rsid w:val="0038458D"/>
    <w:rsid w:val="00384C2A"/>
    <w:rsid w:val="00384D3B"/>
    <w:rsid w:val="0038590A"/>
    <w:rsid w:val="00385A0E"/>
    <w:rsid w:val="00385CA2"/>
    <w:rsid w:val="003861A7"/>
    <w:rsid w:val="0038683F"/>
    <w:rsid w:val="0038745B"/>
    <w:rsid w:val="00387474"/>
    <w:rsid w:val="0038749A"/>
    <w:rsid w:val="003875EA"/>
    <w:rsid w:val="00390042"/>
    <w:rsid w:val="00390320"/>
    <w:rsid w:val="003906FC"/>
    <w:rsid w:val="00390733"/>
    <w:rsid w:val="00390CBD"/>
    <w:rsid w:val="00390E4C"/>
    <w:rsid w:val="00390ED6"/>
    <w:rsid w:val="00391116"/>
    <w:rsid w:val="003911CF"/>
    <w:rsid w:val="003916D2"/>
    <w:rsid w:val="00391F56"/>
    <w:rsid w:val="003920EF"/>
    <w:rsid w:val="0039288C"/>
    <w:rsid w:val="00392FEE"/>
    <w:rsid w:val="003932B0"/>
    <w:rsid w:val="00393544"/>
    <w:rsid w:val="0039359B"/>
    <w:rsid w:val="003938FB"/>
    <w:rsid w:val="0039417D"/>
    <w:rsid w:val="00394837"/>
    <w:rsid w:val="00395AEB"/>
    <w:rsid w:val="003966F4"/>
    <w:rsid w:val="0039680B"/>
    <w:rsid w:val="00396990"/>
    <w:rsid w:val="00396DA9"/>
    <w:rsid w:val="00396E01"/>
    <w:rsid w:val="003971BB"/>
    <w:rsid w:val="003972CC"/>
    <w:rsid w:val="0039747C"/>
    <w:rsid w:val="003975A8"/>
    <w:rsid w:val="00397D78"/>
    <w:rsid w:val="003A0074"/>
    <w:rsid w:val="003A015D"/>
    <w:rsid w:val="003A01B1"/>
    <w:rsid w:val="003A07A9"/>
    <w:rsid w:val="003A07F6"/>
    <w:rsid w:val="003A09C8"/>
    <w:rsid w:val="003A1029"/>
    <w:rsid w:val="003A12ED"/>
    <w:rsid w:val="003A1FBF"/>
    <w:rsid w:val="003A2435"/>
    <w:rsid w:val="003A2BD7"/>
    <w:rsid w:val="003A41C2"/>
    <w:rsid w:val="003A4599"/>
    <w:rsid w:val="003A4DE2"/>
    <w:rsid w:val="003A4E31"/>
    <w:rsid w:val="003A4EFD"/>
    <w:rsid w:val="003A5051"/>
    <w:rsid w:val="003A5434"/>
    <w:rsid w:val="003A5734"/>
    <w:rsid w:val="003A7345"/>
    <w:rsid w:val="003A7470"/>
    <w:rsid w:val="003A78D2"/>
    <w:rsid w:val="003A78E6"/>
    <w:rsid w:val="003B0F7D"/>
    <w:rsid w:val="003B10C4"/>
    <w:rsid w:val="003B1E85"/>
    <w:rsid w:val="003B1F27"/>
    <w:rsid w:val="003B2056"/>
    <w:rsid w:val="003B245D"/>
    <w:rsid w:val="003B25A8"/>
    <w:rsid w:val="003B2DFC"/>
    <w:rsid w:val="003B3265"/>
    <w:rsid w:val="003B380B"/>
    <w:rsid w:val="003B3994"/>
    <w:rsid w:val="003B39B1"/>
    <w:rsid w:val="003B4BBF"/>
    <w:rsid w:val="003B59AB"/>
    <w:rsid w:val="003B69B7"/>
    <w:rsid w:val="003B6AAD"/>
    <w:rsid w:val="003B6ACD"/>
    <w:rsid w:val="003B6B5F"/>
    <w:rsid w:val="003B6BE5"/>
    <w:rsid w:val="003C0075"/>
    <w:rsid w:val="003C067E"/>
    <w:rsid w:val="003C07C3"/>
    <w:rsid w:val="003C0A2E"/>
    <w:rsid w:val="003C11C7"/>
    <w:rsid w:val="003C137E"/>
    <w:rsid w:val="003C1DE1"/>
    <w:rsid w:val="003C3148"/>
    <w:rsid w:val="003C382D"/>
    <w:rsid w:val="003C3CAA"/>
    <w:rsid w:val="003C483E"/>
    <w:rsid w:val="003C4860"/>
    <w:rsid w:val="003C4CD6"/>
    <w:rsid w:val="003C4FE2"/>
    <w:rsid w:val="003C50E2"/>
    <w:rsid w:val="003C5728"/>
    <w:rsid w:val="003C57DE"/>
    <w:rsid w:val="003C7503"/>
    <w:rsid w:val="003C7720"/>
    <w:rsid w:val="003C7C95"/>
    <w:rsid w:val="003C7DFC"/>
    <w:rsid w:val="003C7F08"/>
    <w:rsid w:val="003D0350"/>
    <w:rsid w:val="003D0547"/>
    <w:rsid w:val="003D0D46"/>
    <w:rsid w:val="003D0F63"/>
    <w:rsid w:val="003D1127"/>
    <w:rsid w:val="003D199B"/>
    <w:rsid w:val="003D2850"/>
    <w:rsid w:val="003D2F7A"/>
    <w:rsid w:val="003D30B6"/>
    <w:rsid w:val="003D407B"/>
    <w:rsid w:val="003D4BF2"/>
    <w:rsid w:val="003D4CC8"/>
    <w:rsid w:val="003D4EA1"/>
    <w:rsid w:val="003D5336"/>
    <w:rsid w:val="003D54B9"/>
    <w:rsid w:val="003D5829"/>
    <w:rsid w:val="003D67D1"/>
    <w:rsid w:val="003D6857"/>
    <w:rsid w:val="003D76DA"/>
    <w:rsid w:val="003D7C07"/>
    <w:rsid w:val="003D7C83"/>
    <w:rsid w:val="003E0794"/>
    <w:rsid w:val="003E0A7B"/>
    <w:rsid w:val="003E0EED"/>
    <w:rsid w:val="003E0F2D"/>
    <w:rsid w:val="003E0F71"/>
    <w:rsid w:val="003E1439"/>
    <w:rsid w:val="003E15B6"/>
    <w:rsid w:val="003E2089"/>
    <w:rsid w:val="003E2177"/>
    <w:rsid w:val="003E26C8"/>
    <w:rsid w:val="003E2A0F"/>
    <w:rsid w:val="003E2F3F"/>
    <w:rsid w:val="003E31EB"/>
    <w:rsid w:val="003E38FE"/>
    <w:rsid w:val="003E39D4"/>
    <w:rsid w:val="003E3A3D"/>
    <w:rsid w:val="003E4336"/>
    <w:rsid w:val="003E5522"/>
    <w:rsid w:val="003E6689"/>
    <w:rsid w:val="003E6B0B"/>
    <w:rsid w:val="003E727B"/>
    <w:rsid w:val="003E7567"/>
    <w:rsid w:val="003E7DFC"/>
    <w:rsid w:val="003E7F83"/>
    <w:rsid w:val="003E7FAC"/>
    <w:rsid w:val="003F02FB"/>
    <w:rsid w:val="003F07BF"/>
    <w:rsid w:val="003F0B9A"/>
    <w:rsid w:val="003F0E5E"/>
    <w:rsid w:val="003F1BBD"/>
    <w:rsid w:val="003F23AF"/>
    <w:rsid w:val="003F28F9"/>
    <w:rsid w:val="003F292C"/>
    <w:rsid w:val="003F3E0A"/>
    <w:rsid w:val="003F3F38"/>
    <w:rsid w:val="003F435B"/>
    <w:rsid w:val="003F44AF"/>
    <w:rsid w:val="003F565B"/>
    <w:rsid w:val="003F764D"/>
    <w:rsid w:val="003F773A"/>
    <w:rsid w:val="003F7954"/>
    <w:rsid w:val="003F7A4A"/>
    <w:rsid w:val="003F7ED3"/>
    <w:rsid w:val="003F7EE9"/>
    <w:rsid w:val="00400008"/>
    <w:rsid w:val="00400AD7"/>
    <w:rsid w:val="00400FA7"/>
    <w:rsid w:val="00401768"/>
    <w:rsid w:val="00401B58"/>
    <w:rsid w:val="00401DCF"/>
    <w:rsid w:val="0040264B"/>
    <w:rsid w:val="00402CC0"/>
    <w:rsid w:val="00403648"/>
    <w:rsid w:val="00403AC4"/>
    <w:rsid w:val="00403AF1"/>
    <w:rsid w:val="00403E57"/>
    <w:rsid w:val="004041DA"/>
    <w:rsid w:val="004042FD"/>
    <w:rsid w:val="0040518A"/>
    <w:rsid w:val="00405262"/>
    <w:rsid w:val="00405908"/>
    <w:rsid w:val="004060B4"/>
    <w:rsid w:val="00406984"/>
    <w:rsid w:val="00406A0B"/>
    <w:rsid w:val="00406BC0"/>
    <w:rsid w:val="004075A1"/>
    <w:rsid w:val="0040797E"/>
    <w:rsid w:val="0041118F"/>
    <w:rsid w:val="0041187B"/>
    <w:rsid w:val="00411ADE"/>
    <w:rsid w:val="00411EEB"/>
    <w:rsid w:val="004121E1"/>
    <w:rsid w:val="00412EBD"/>
    <w:rsid w:val="00413024"/>
    <w:rsid w:val="00413587"/>
    <w:rsid w:val="00413872"/>
    <w:rsid w:val="00414D5D"/>
    <w:rsid w:val="0041507B"/>
    <w:rsid w:val="00415648"/>
    <w:rsid w:val="0041596A"/>
    <w:rsid w:val="00415A39"/>
    <w:rsid w:val="004162AC"/>
    <w:rsid w:val="0041679B"/>
    <w:rsid w:val="00416C88"/>
    <w:rsid w:val="00416DFA"/>
    <w:rsid w:val="00416EDA"/>
    <w:rsid w:val="004171B1"/>
    <w:rsid w:val="00417B0F"/>
    <w:rsid w:val="00417BC7"/>
    <w:rsid w:val="00420FA1"/>
    <w:rsid w:val="00421F33"/>
    <w:rsid w:val="0042243B"/>
    <w:rsid w:val="00423239"/>
    <w:rsid w:val="004232D2"/>
    <w:rsid w:val="00423763"/>
    <w:rsid w:val="00423A0B"/>
    <w:rsid w:val="00423D20"/>
    <w:rsid w:val="004240D1"/>
    <w:rsid w:val="00424113"/>
    <w:rsid w:val="00424495"/>
    <w:rsid w:val="00425534"/>
    <w:rsid w:val="00425A79"/>
    <w:rsid w:val="00426472"/>
    <w:rsid w:val="00426AA1"/>
    <w:rsid w:val="00426F9B"/>
    <w:rsid w:val="0042739B"/>
    <w:rsid w:val="004273D4"/>
    <w:rsid w:val="004302EB"/>
    <w:rsid w:val="00430486"/>
    <w:rsid w:val="00430696"/>
    <w:rsid w:val="00430A81"/>
    <w:rsid w:val="00430DF2"/>
    <w:rsid w:val="00431078"/>
    <w:rsid w:val="00431089"/>
    <w:rsid w:val="0043249D"/>
    <w:rsid w:val="0043296A"/>
    <w:rsid w:val="00432B84"/>
    <w:rsid w:val="00432EC8"/>
    <w:rsid w:val="00433407"/>
    <w:rsid w:val="00433609"/>
    <w:rsid w:val="00433D63"/>
    <w:rsid w:val="0043406C"/>
    <w:rsid w:val="00434ED2"/>
    <w:rsid w:val="004351A3"/>
    <w:rsid w:val="00435655"/>
    <w:rsid w:val="00435BEC"/>
    <w:rsid w:val="00435DDB"/>
    <w:rsid w:val="00435F07"/>
    <w:rsid w:val="00436208"/>
    <w:rsid w:val="00436F91"/>
    <w:rsid w:val="004371B9"/>
    <w:rsid w:val="004372AA"/>
    <w:rsid w:val="00437E53"/>
    <w:rsid w:val="00440472"/>
    <w:rsid w:val="00440690"/>
    <w:rsid w:val="00440F72"/>
    <w:rsid w:val="00441222"/>
    <w:rsid w:val="004419B2"/>
    <w:rsid w:val="00441AB0"/>
    <w:rsid w:val="00441DDF"/>
    <w:rsid w:val="00441FA6"/>
    <w:rsid w:val="004427D0"/>
    <w:rsid w:val="00442907"/>
    <w:rsid w:val="00442E6E"/>
    <w:rsid w:val="00443336"/>
    <w:rsid w:val="00443398"/>
    <w:rsid w:val="004443B4"/>
    <w:rsid w:val="00444573"/>
    <w:rsid w:val="004445DD"/>
    <w:rsid w:val="0044531D"/>
    <w:rsid w:val="00445830"/>
    <w:rsid w:val="00445ED0"/>
    <w:rsid w:val="00446512"/>
    <w:rsid w:val="00446F99"/>
    <w:rsid w:val="004470BD"/>
    <w:rsid w:val="004473D6"/>
    <w:rsid w:val="0044752D"/>
    <w:rsid w:val="0044783A"/>
    <w:rsid w:val="0044790A"/>
    <w:rsid w:val="00447DF6"/>
    <w:rsid w:val="0044F33A"/>
    <w:rsid w:val="0045050C"/>
    <w:rsid w:val="00450927"/>
    <w:rsid w:val="00451288"/>
    <w:rsid w:val="0045165C"/>
    <w:rsid w:val="00451B6E"/>
    <w:rsid w:val="00452CD6"/>
    <w:rsid w:val="00453A85"/>
    <w:rsid w:val="00454173"/>
    <w:rsid w:val="00454197"/>
    <w:rsid w:val="0045472C"/>
    <w:rsid w:val="00454A0D"/>
    <w:rsid w:val="00454CBA"/>
    <w:rsid w:val="004551B4"/>
    <w:rsid w:val="004553B7"/>
    <w:rsid w:val="0045597F"/>
    <w:rsid w:val="00455C99"/>
    <w:rsid w:val="00455D3F"/>
    <w:rsid w:val="00456C8E"/>
    <w:rsid w:val="00456CD3"/>
    <w:rsid w:val="004576BD"/>
    <w:rsid w:val="004578EF"/>
    <w:rsid w:val="0046044F"/>
    <w:rsid w:val="004617F7"/>
    <w:rsid w:val="00461FC7"/>
    <w:rsid w:val="004620B6"/>
    <w:rsid w:val="00463802"/>
    <w:rsid w:val="00463A2C"/>
    <w:rsid w:val="00463D2A"/>
    <w:rsid w:val="00463F43"/>
    <w:rsid w:val="00464D0F"/>
    <w:rsid w:val="0046579A"/>
    <w:rsid w:val="00465812"/>
    <w:rsid w:val="00465E6E"/>
    <w:rsid w:val="004669FA"/>
    <w:rsid w:val="00466AE2"/>
    <w:rsid w:val="0046791E"/>
    <w:rsid w:val="00467D58"/>
    <w:rsid w:val="00467FB5"/>
    <w:rsid w:val="00470804"/>
    <w:rsid w:val="00470E0D"/>
    <w:rsid w:val="004713EB"/>
    <w:rsid w:val="00471489"/>
    <w:rsid w:val="0047186E"/>
    <w:rsid w:val="00471AF3"/>
    <w:rsid w:val="00471C29"/>
    <w:rsid w:val="00471D5A"/>
    <w:rsid w:val="004729EE"/>
    <w:rsid w:val="00472CDC"/>
    <w:rsid w:val="0047344E"/>
    <w:rsid w:val="00473E03"/>
    <w:rsid w:val="00473F51"/>
    <w:rsid w:val="0047408A"/>
    <w:rsid w:val="004746A3"/>
    <w:rsid w:val="00474E58"/>
    <w:rsid w:val="00475936"/>
    <w:rsid w:val="004761BB"/>
    <w:rsid w:val="00476312"/>
    <w:rsid w:val="004764BA"/>
    <w:rsid w:val="004768D6"/>
    <w:rsid w:val="00476D4A"/>
    <w:rsid w:val="00477D74"/>
    <w:rsid w:val="00477D83"/>
    <w:rsid w:val="00477DC5"/>
    <w:rsid w:val="00480F44"/>
    <w:rsid w:val="00481571"/>
    <w:rsid w:val="00481D0D"/>
    <w:rsid w:val="00481D62"/>
    <w:rsid w:val="00483814"/>
    <w:rsid w:val="00483EFD"/>
    <w:rsid w:val="00484098"/>
    <w:rsid w:val="004842F0"/>
    <w:rsid w:val="00485425"/>
    <w:rsid w:val="004857AE"/>
    <w:rsid w:val="00485E08"/>
    <w:rsid w:val="00487852"/>
    <w:rsid w:val="00490028"/>
    <w:rsid w:val="00490324"/>
    <w:rsid w:val="00491243"/>
    <w:rsid w:val="00491557"/>
    <w:rsid w:val="0049218F"/>
    <w:rsid w:val="0049235A"/>
    <w:rsid w:val="004924C2"/>
    <w:rsid w:val="004924C6"/>
    <w:rsid w:val="004925AC"/>
    <w:rsid w:val="004926C0"/>
    <w:rsid w:val="00492918"/>
    <w:rsid w:val="00492FE8"/>
    <w:rsid w:val="00493136"/>
    <w:rsid w:val="0049313F"/>
    <w:rsid w:val="00493617"/>
    <w:rsid w:val="00493E01"/>
    <w:rsid w:val="00494A0A"/>
    <w:rsid w:val="00495709"/>
    <w:rsid w:val="004958AC"/>
    <w:rsid w:val="00496132"/>
    <w:rsid w:val="004969CD"/>
    <w:rsid w:val="0049753D"/>
    <w:rsid w:val="00497702"/>
    <w:rsid w:val="00497A4A"/>
    <w:rsid w:val="004A00D4"/>
    <w:rsid w:val="004A10E7"/>
    <w:rsid w:val="004A11C4"/>
    <w:rsid w:val="004A128B"/>
    <w:rsid w:val="004A1E3A"/>
    <w:rsid w:val="004A1F46"/>
    <w:rsid w:val="004A2501"/>
    <w:rsid w:val="004A26ED"/>
    <w:rsid w:val="004A2792"/>
    <w:rsid w:val="004A2A70"/>
    <w:rsid w:val="004A2C83"/>
    <w:rsid w:val="004A36D1"/>
    <w:rsid w:val="004A37D3"/>
    <w:rsid w:val="004A3953"/>
    <w:rsid w:val="004A3A04"/>
    <w:rsid w:val="004A3B79"/>
    <w:rsid w:val="004A4503"/>
    <w:rsid w:val="004A4861"/>
    <w:rsid w:val="004A4881"/>
    <w:rsid w:val="004A59B5"/>
    <w:rsid w:val="004A637C"/>
    <w:rsid w:val="004A6E55"/>
    <w:rsid w:val="004A7954"/>
    <w:rsid w:val="004A7D47"/>
    <w:rsid w:val="004B01B0"/>
    <w:rsid w:val="004B0B4B"/>
    <w:rsid w:val="004B0BC8"/>
    <w:rsid w:val="004B0F40"/>
    <w:rsid w:val="004B11BF"/>
    <w:rsid w:val="004B1A51"/>
    <w:rsid w:val="004B1C28"/>
    <w:rsid w:val="004B2A40"/>
    <w:rsid w:val="004B2C93"/>
    <w:rsid w:val="004B33EA"/>
    <w:rsid w:val="004B3635"/>
    <w:rsid w:val="004B3CC0"/>
    <w:rsid w:val="004B3D78"/>
    <w:rsid w:val="004B3DE0"/>
    <w:rsid w:val="004B49CD"/>
    <w:rsid w:val="004B518D"/>
    <w:rsid w:val="004B5B0B"/>
    <w:rsid w:val="004B64D9"/>
    <w:rsid w:val="004B6BC7"/>
    <w:rsid w:val="004B755F"/>
    <w:rsid w:val="004B75AE"/>
    <w:rsid w:val="004C0972"/>
    <w:rsid w:val="004C09B7"/>
    <w:rsid w:val="004C159C"/>
    <w:rsid w:val="004C17B1"/>
    <w:rsid w:val="004C1CE8"/>
    <w:rsid w:val="004C22A2"/>
    <w:rsid w:val="004C2366"/>
    <w:rsid w:val="004C23A8"/>
    <w:rsid w:val="004C263F"/>
    <w:rsid w:val="004C37DC"/>
    <w:rsid w:val="004C3F3F"/>
    <w:rsid w:val="004C486C"/>
    <w:rsid w:val="004C4A5E"/>
    <w:rsid w:val="004C53A7"/>
    <w:rsid w:val="004C5553"/>
    <w:rsid w:val="004C58C5"/>
    <w:rsid w:val="004C5CB3"/>
    <w:rsid w:val="004C5D80"/>
    <w:rsid w:val="004C67AC"/>
    <w:rsid w:val="004C6D13"/>
    <w:rsid w:val="004C7606"/>
    <w:rsid w:val="004C7D0F"/>
    <w:rsid w:val="004D0AE6"/>
    <w:rsid w:val="004D0D1F"/>
    <w:rsid w:val="004D16CD"/>
    <w:rsid w:val="004D2643"/>
    <w:rsid w:val="004D2698"/>
    <w:rsid w:val="004D2964"/>
    <w:rsid w:val="004D2B3E"/>
    <w:rsid w:val="004D2BE6"/>
    <w:rsid w:val="004D2DFA"/>
    <w:rsid w:val="004D45EB"/>
    <w:rsid w:val="004D4A28"/>
    <w:rsid w:val="004D5DEF"/>
    <w:rsid w:val="004D6231"/>
    <w:rsid w:val="004D64FA"/>
    <w:rsid w:val="004D6AF6"/>
    <w:rsid w:val="004D7A2D"/>
    <w:rsid w:val="004D7B8B"/>
    <w:rsid w:val="004D7C74"/>
    <w:rsid w:val="004E03DE"/>
    <w:rsid w:val="004E096E"/>
    <w:rsid w:val="004E0A1B"/>
    <w:rsid w:val="004E0DE1"/>
    <w:rsid w:val="004E1C5F"/>
    <w:rsid w:val="004E2301"/>
    <w:rsid w:val="004E25D5"/>
    <w:rsid w:val="004E295C"/>
    <w:rsid w:val="004E3A50"/>
    <w:rsid w:val="004E4149"/>
    <w:rsid w:val="004E46A1"/>
    <w:rsid w:val="004E4B1A"/>
    <w:rsid w:val="004E6135"/>
    <w:rsid w:val="004E63B7"/>
    <w:rsid w:val="004E69F4"/>
    <w:rsid w:val="004E6B2F"/>
    <w:rsid w:val="004E6C28"/>
    <w:rsid w:val="004E6C56"/>
    <w:rsid w:val="004E6F9D"/>
    <w:rsid w:val="004E700D"/>
    <w:rsid w:val="004E716E"/>
    <w:rsid w:val="004E7848"/>
    <w:rsid w:val="004E7867"/>
    <w:rsid w:val="004E7BDE"/>
    <w:rsid w:val="004E7F07"/>
    <w:rsid w:val="004F04E3"/>
    <w:rsid w:val="004F1AEE"/>
    <w:rsid w:val="004F1C8F"/>
    <w:rsid w:val="004F1F44"/>
    <w:rsid w:val="004F2322"/>
    <w:rsid w:val="004F2C26"/>
    <w:rsid w:val="004F36E1"/>
    <w:rsid w:val="004F3BF0"/>
    <w:rsid w:val="004F3C3C"/>
    <w:rsid w:val="004F43B9"/>
    <w:rsid w:val="004F4ADA"/>
    <w:rsid w:val="004F5687"/>
    <w:rsid w:val="004F599C"/>
    <w:rsid w:val="004F5A45"/>
    <w:rsid w:val="004F607B"/>
    <w:rsid w:val="004F617A"/>
    <w:rsid w:val="004F6458"/>
    <w:rsid w:val="004F6926"/>
    <w:rsid w:val="004F6CCD"/>
    <w:rsid w:val="005001CF"/>
    <w:rsid w:val="005008D2"/>
    <w:rsid w:val="00500A42"/>
    <w:rsid w:val="0050162F"/>
    <w:rsid w:val="0050166A"/>
    <w:rsid w:val="00502CFA"/>
    <w:rsid w:val="00502E3C"/>
    <w:rsid w:val="00502E66"/>
    <w:rsid w:val="0050379C"/>
    <w:rsid w:val="00503802"/>
    <w:rsid w:val="00503E00"/>
    <w:rsid w:val="005044C8"/>
    <w:rsid w:val="0050467A"/>
    <w:rsid w:val="0050498D"/>
    <w:rsid w:val="00504B0A"/>
    <w:rsid w:val="0050512B"/>
    <w:rsid w:val="00505726"/>
    <w:rsid w:val="00506767"/>
    <w:rsid w:val="00507779"/>
    <w:rsid w:val="005077B2"/>
    <w:rsid w:val="00507AB2"/>
    <w:rsid w:val="00507CC6"/>
    <w:rsid w:val="0051055A"/>
    <w:rsid w:val="00510725"/>
    <w:rsid w:val="00510856"/>
    <w:rsid w:val="0051085C"/>
    <w:rsid w:val="0051094E"/>
    <w:rsid w:val="00510D89"/>
    <w:rsid w:val="00511FB5"/>
    <w:rsid w:val="005127C7"/>
    <w:rsid w:val="005129B6"/>
    <w:rsid w:val="00512F5D"/>
    <w:rsid w:val="0051349D"/>
    <w:rsid w:val="005138E6"/>
    <w:rsid w:val="005148EE"/>
    <w:rsid w:val="00514E20"/>
    <w:rsid w:val="00514EB9"/>
    <w:rsid w:val="005155C3"/>
    <w:rsid w:val="00515C18"/>
    <w:rsid w:val="00516742"/>
    <w:rsid w:val="00516900"/>
    <w:rsid w:val="00517495"/>
    <w:rsid w:val="005174B9"/>
    <w:rsid w:val="005176F2"/>
    <w:rsid w:val="005178E9"/>
    <w:rsid w:val="005179F0"/>
    <w:rsid w:val="00517B78"/>
    <w:rsid w:val="00517C8A"/>
    <w:rsid w:val="00517F81"/>
    <w:rsid w:val="0052017A"/>
    <w:rsid w:val="0052042C"/>
    <w:rsid w:val="0052065D"/>
    <w:rsid w:val="00520A84"/>
    <w:rsid w:val="00521282"/>
    <w:rsid w:val="005213A1"/>
    <w:rsid w:val="00521685"/>
    <w:rsid w:val="005218A9"/>
    <w:rsid w:val="00521A73"/>
    <w:rsid w:val="00522883"/>
    <w:rsid w:val="0052344F"/>
    <w:rsid w:val="00523952"/>
    <w:rsid w:val="00523E81"/>
    <w:rsid w:val="005249D8"/>
    <w:rsid w:val="00525601"/>
    <w:rsid w:val="00525A67"/>
    <w:rsid w:val="00526181"/>
    <w:rsid w:val="0052624D"/>
    <w:rsid w:val="00526843"/>
    <w:rsid w:val="00527FAE"/>
    <w:rsid w:val="00530163"/>
    <w:rsid w:val="00530B3B"/>
    <w:rsid w:val="00530C7B"/>
    <w:rsid w:val="00530F47"/>
    <w:rsid w:val="005315D2"/>
    <w:rsid w:val="00531661"/>
    <w:rsid w:val="00531BDF"/>
    <w:rsid w:val="00531BFE"/>
    <w:rsid w:val="005323AB"/>
    <w:rsid w:val="00532550"/>
    <w:rsid w:val="00532D05"/>
    <w:rsid w:val="00532D40"/>
    <w:rsid w:val="005331B1"/>
    <w:rsid w:val="00533251"/>
    <w:rsid w:val="0053338E"/>
    <w:rsid w:val="00533A82"/>
    <w:rsid w:val="00533CC2"/>
    <w:rsid w:val="00533E13"/>
    <w:rsid w:val="005346F4"/>
    <w:rsid w:val="00534947"/>
    <w:rsid w:val="00534EC7"/>
    <w:rsid w:val="00535470"/>
    <w:rsid w:val="005354CE"/>
    <w:rsid w:val="005363A4"/>
    <w:rsid w:val="005366F4"/>
    <w:rsid w:val="00536927"/>
    <w:rsid w:val="00536F95"/>
    <w:rsid w:val="005370A3"/>
    <w:rsid w:val="0053750C"/>
    <w:rsid w:val="0053774D"/>
    <w:rsid w:val="00537CBB"/>
    <w:rsid w:val="00537E76"/>
    <w:rsid w:val="00540699"/>
    <w:rsid w:val="00540A0A"/>
    <w:rsid w:val="005410F4"/>
    <w:rsid w:val="0054159B"/>
    <w:rsid w:val="005416F0"/>
    <w:rsid w:val="00541FBA"/>
    <w:rsid w:val="00542009"/>
    <w:rsid w:val="0054212A"/>
    <w:rsid w:val="005424B5"/>
    <w:rsid w:val="005437E3"/>
    <w:rsid w:val="00543DE3"/>
    <w:rsid w:val="005440A2"/>
    <w:rsid w:val="00544455"/>
    <w:rsid w:val="00544A75"/>
    <w:rsid w:val="00544C24"/>
    <w:rsid w:val="00544EC6"/>
    <w:rsid w:val="005459BE"/>
    <w:rsid w:val="00545BC0"/>
    <w:rsid w:val="00545D76"/>
    <w:rsid w:val="00545E1D"/>
    <w:rsid w:val="00546091"/>
    <w:rsid w:val="005464F3"/>
    <w:rsid w:val="00546DF8"/>
    <w:rsid w:val="00550D49"/>
    <w:rsid w:val="00551308"/>
    <w:rsid w:val="005514B5"/>
    <w:rsid w:val="00551A36"/>
    <w:rsid w:val="00552DC0"/>
    <w:rsid w:val="00554900"/>
    <w:rsid w:val="00554D2F"/>
    <w:rsid w:val="00555745"/>
    <w:rsid w:val="0055595A"/>
    <w:rsid w:val="00555CA8"/>
    <w:rsid w:val="00555E8C"/>
    <w:rsid w:val="005563BB"/>
    <w:rsid w:val="00557A60"/>
    <w:rsid w:val="00557FF0"/>
    <w:rsid w:val="005601A3"/>
    <w:rsid w:val="00560643"/>
    <w:rsid w:val="0056088B"/>
    <w:rsid w:val="00560F05"/>
    <w:rsid w:val="0056123A"/>
    <w:rsid w:val="00561441"/>
    <w:rsid w:val="00561C67"/>
    <w:rsid w:val="005624B4"/>
    <w:rsid w:val="00562C76"/>
    <w:rsid w:val="00563028"/>
    <w:rsid w:val="005631B9"/>
    <w:rsid w:val="0056345B"/>
    <w:rsid w:val="00563E22"/>
    <w:rsid w:val="00563E5E"/>
    <w:rsid w:val="00563F32"/>
    <w:rsid w:val="00563F41"/>
    <w:rsid w:val="00564AFE"/>
    <w:rsid w:val="00565211"/>
    <w:rsid w:val="005659CD"/>
    <w:rsid w:val="00565F74"/>
    <w:rsid w:val="00566014"/>
    <w:rsid w:val="0056676C"/>
    <w:rsid w:val="005673D3"/>
    <w:rsid w:val="00570701"/>
    <w:rsid w:val="005713D3"/>
    <w:rsid w:val="005715FC"/>
    <w:rsid w:val="0057174B"/>
    <w:rsid w:val="00571D37"/>
    <w:rsid w:val="005724AA"/>
    <w:rsid w:val="00572504"/>
    <w:rsid w:val="00572C77"/>
    <w:rsid w:val="0057302F"/>
    <w:rsid w:val="00573F25"/>
    <w:rsid w:val="005742A5"/>
    <w:rsid w:val="00574F16"/>
    <w:rsid w:val="00575683"/>
    <w:rsid w:val="00575AAE"/>
    <w:rsid w:val="005762ED"/>
    <w:rsid w:val="00576430"/>
    <w:rsid w:val="00576672"/>
    <w:rsid w:val="005773C6"/>
    <w:rsid w:val="00577525"/>
    <w:rsid w:val="00577994"/>
    <w:rsid w:val="00577A22"/>
    <w:rsid w:val="00577C1D"/>
    <w:rsid w:val="005801E9"/>
    <w:rsid w:val="0058273E"/>
    <w:rsid w:val="00582E7F"/>
    <w:rsid w:val="005839C8"/>
    <w:rsid w:val="005839D9"/>
    <w:rsid w:val="00583B76"/>
    <w:rsid w:val="00583C0B"/>
    <w:rsid w:val="00583EDA"/>
    <w:rsid w:val="005841A5"/>
    <w:rsid w:val="005841CF"/>
    <w:rsid w:val="0058491B"/>
    <w:rsid w:val="00584F0D"/>
    <w:rsid w:val="0058529B"/>
    <w:rsid w:val="00585A77"/>
    <w:rsid w:val="00585B47"/>
    <w:rsid w:val="0058609B"/>
    <w:rsid w:val="00586177"/>
    <w:rsid w:val="005861C5"/>
    <w:rsid w:val="00586448"/>
    <w:rsid w:val="00587267"/>
    <w:rsid w:val="00587563"/>
    <w:rsid w:val="00587616"/>
    <w:rsid w:val="005877CC"/>
    <w:rsid w:val="00587CC9"/>
    <w:rsid w:val="0059051F"/>
    <w:rsid w:val="0059083A"/>
    <w:rsid w:val="005908E9"/>
    <w:rsid w:val="00591058"/>
    <w:rsid w:val="005911B1"/>
    <w:rsid w:val="00591BA1"/>
    <w:rsid w:val="005925B1"/>
    <w:rsid w:val="00592BEF"/>
    <w:rsid w:val="00592C98"/>
    <w:rsid w:val="005934C0"/>
    <w:rsid w:val="005935C1"/>
    <w:rsid w:val="00593A4F"/>
    <w:rsid w:val="00593BB5"/>
    <w:rsid w:val="00594A2B"/>
    <w:rsid w:val="00595794"/>
    <w:rsid w:val="005957A7"/>
    <w:rsid w:val="0059593A"/>
    <w:rsid w:val="005959FE"/>
    <w:rsid w:val="00595EA9"/>
    <w:rsid w:val="005966FF"/>
    <w:rsid w:val="00596D6B"/>
    <w:rsid w:val="00597255"/>
    <w:rsid w:val="0059739C"/>
    <w:rsid w:val="00597425"/>
    <w:rsid w:val="00597896"/>
    <w:rsid w:val="005A018C"/>
    <w:rsid w:val="005A03D8"/>
    <w:rsid w:val="005A06FF"/>
    <w:rsid w:val="005A0795"/>
    <w:rsid w:val="005A1957"/>
    <w:rsid w:val="005A2149"/>
    <w:rsid w:val="005A2644"/>
    <w:rsid w:val="005A2909"/>
    <w:rsid w:val="005A302E"/>
    <w:rsid w:val="005A333B"/>
    <w:rsid w:val="005A3962"/>
    <w:rsid w:val="005A4269"/>
    <w:rsid w:val="005A4745"/>
    <w:rsid w:val="005A488B"/>
    <w:rsid w:val="005A4E3F"/>
    <w:rsid w:val="005A5285"/>
    <w:rsid w:val="005A58A8"/>
    <w:rsid w:val="005A5B79"/>
    <w:rsid w:val="005A5F6B"/>
    <w:rsid w:val="005A6286"/>
    <w:rsid w:val="005A6464"/>
    <w:rsid w:val="005A6B5B"/>
    <w:rsid w:val="005A72E0"/>
    <w:rsid w:val="005A740C"/>
    <w:rsid w:val="005A7CB3"/>
    <w:rsid w:val="005B03CC"/>
    <w:rsid w:val="005B0726"/>
    <w:rsid w:val="005B0951"/>
    <w:rsid w:val="005B112A"/>
    <w:rsid w:val="005B17D7"/>
    <w:rsid w:val="005B2A9E"/>
    <w:rsid w:val="005B43FF"/>
    <w:rsid w:val="005B4411"/>
    <w:rsid w:val="005B4696"/>
    <w:rsid w:val="005B4BC2"/>
    <w:rsid w:val="005B53A2"/>
    <w:rsid w:val="005B5725"/>
    <w:rsid w:val="005B5A97"/>
    <w:rsid w:val="005B5D8D"/>
    <w:rsid w:val="005B62C2"/>
    <w:rsid w:val="005B6496"/>
    <w:rsid w:val="005B71E3"/>
    <w:rsid w:val="005B72A3"/>
    <w:rsid w:val="005B79E9"/>
    <w:rsid w:val="005B7CBA"/>
    <w:rsid w:val="005B7EE2"/>
    <w:rsid w:val="005C0BF7"/>
    <w:rsid w:val="005C0EB4"/>
    <w:rsid w:val="005C109B"/>
    <w:rsid w:val="005C1F6D"/>
    <w:rsid w:val="005C1FE7"/>
    <w:rsid w:val="005C21FE"/>
    <w:rsid w:val="005C226F"/>
    <w:rsid w:val="005C22D0"/>
    <w:rsid w:val="005C238B"/>
    <w:rsid w:val="005C28D6"/>
    <w:rsid w:val="005C2CD9"/>
    <w:rsid w:val="005C3193"/>
    <w:rsid w:val="005C342B"/>
    <w:rsid w:val="005C3A25"/>
    <w:rsid w:val="005C3D8C"/>
    <w:rsid w:val="005C4A76"/>
    <w:rsid w:val="005C4B15"/>
    <w:rsid w:val="005C54F1"/>
    <w:rsid w:val="005C5C25"/>
    <w:rsid w:val="005C5C49"/>
    <w:rsid w:val="005C677D"/>
    <w:rsid w:val="005C67C8"/>
    <w:rsid w:val="005C684D"/>
    <w:rsid w:val="005C6914"/>
    <w:rsid w:val="005C7774"/>
    <w:rsid w:val="005C7CBB"/>
    <w:rsid w:val="005D0111"/>
    <w:rsid w:val="005D0312"/>
    <w:rsid w:val="005D076B"/>
    <w:rsid w:val="005D0CE6"/>
    <w:rsid w:val="005D1EE6"/>
    <w:rsid w:val="005D2477"/>
    <w:rsid w:val="005D2A5B"/>
    <w:rsid w:val="005D309A"/>
    <w:rsid w:val="005D38BD"/>
    <w:rsid w:val="005D3FA9"/>
    <w:rsid w:val="005D48E9"/>
    <w:rsid w:val="005D4A29"/>
    <w:rsid w:val="005D4DD9"/>
    <w:rsid w:val="005D4F1C"/>
    <w:rsid w:val="005D55FD"/>
    <w:rsid w:val="005D595C"/>
    <w:rsid w:val="005D5980"/>
    <w:rsid w:val="005D59BC"/>
    <w:rsid w:val="005D69EF"/>
    <w:rsid w:val="005D6DB8"/>
    <w:rsid w:val="005D7A82"/>
    <w:rsid w:val="005D7D9A"/>
    <w:rsid w:val="005E0097"/>
    <w:rsid w:val="005E04DA"/>
    <w:rsid w:val="005E0A1E"/>
    <w:rsid w:val="005E0A6D"/>
    <w:rsid w:val="005E16FA"/>
    <w:rsid w:val="005E174A"/>
    <w:rsid w:val="005E21E0"/>
    <w:rsid w:val="005E2BC6"/>
    <w:rsid w:val="005E3EEA"/>
    <w:rsid w:val="005E401D"/>
    <w:rsid w:val="005E488E"/>
    <w:rsid w:val="005E5565"/>
    <w:rsid w:val="005E621A"/>
    <w:rsid w:val="005E622E"/>
    <w:rsid w:val="005E6A83"/>
    <w:rsid w:val="005E6BC2"/>
    <w:rsid w:val="005E6F66"/>
    <w:rsid w:val="005E7F0B"/>
    <w:rsid w:val="005F0479"/>
    <w:rsid w:val="005F0537"/>
    <w:rsid w:val="005F093F"/>
    <w:rsid w:val="005F10E2"/>
    <w:rsid w:val="005F2372"/>
    <w:rsid w:val="005F2B0B"/>
    <w:rsid w:val="005F3BDC"/>
    <w:rsid w:val="005F41D6"/>
    <w:rsid w:val="005F587A"/>
    <w:rsid w:val="005F5B87"/>
    <w:rsid w:val="005F5C51"/>
    <w:rsid w:val="005F61F5"/>
    <w:rsid w:val="005F64A8"/>
    <w:rsid w:val="005F64EC"/>
    <w:rsid w:val="005F717B"/>
    <w:rsid w:val="00600080"/>
    <w:rsid w:val="0060074C"/>
    <w:rsid w:val="00600789"/>
    <w:rsid w:val="00600A51"/>
    <w:rsid w:val="006013DF"/>
    <w:rsid w:val="006016D4"/>
    <w:rsid w:val="00601C56"/>
    <w:rsid w:val="00601ED5"/>
    <w:rsid w:val="00602446"/>
    <w:rsid w:val="006025EE"/>
    <w:rsid w:val="006027DE"/>
    <w:rsid w:val="00603961"/>
    <w:rsid w:val="00604603"/>
    <w:rsid w:val="00605509"/>
    <w:rsid w:val="0060553B"/>
    <w:rsid w:val="0060673E"/>
    <w:rsid w:val="006067B8"/>
    <w:rsid w:val="00607604"/>
    <w:rsid w:val="006076B1"/>
    <w:rsid w:val="0060776A"/>
    <w:rsid w:val="0060796C"/>
    <w:rsid w:val="00607A0C"/>
    <w:rsid w:val="00610107"/>
    <w:rsid w:val="0061013D"/>
    <w:rsid w:val="0061020A"/>
    <w:rsid w:val="006104A6"/>
    <w:rsid w:val="006107CF"/>
    <w:rsid w:val="00610AF4"/>
    <w:rsid w:val="00610C4F"/>
    <w:rsid w:val="00611E6E"/>
    <w:rsid w:val="00612EF3"/>
    <w:rsid w:val="00612FE2"/>
    <w:rsid w:val="00613248"/>
    <w:rsid w:val="006133A6"/>
    <w:rsid w:val="00613904"/>
    <w:rsid w:val="00613D74"/>
    <w:rsid w:val="00613DD2"/>
    <w:rsid w:val="00613E5D"/>
    <w:rsid w:val="00613F7A"/>
    <w:rsid w:val="0061425B"/>
    <w:rsid w:val="006142C0"/>
    <w:rsid w:val="00614836"/>
    <w:rsid w:val="006148A3"/>
    <w:rsid w:val="0061560F"/>
    <w:rsid w:val="0061651E"/>
    <w:rsid w:val="006173BA"/>
    <w:rsid w:val="0061786D"/>
    <w:rsid w:val="00617E6F"/>
    <w:rsid w:val="00620233"/>
    <w:rsid w:val="0062040E"/>
    <w:rsid w:val="00620891"/>
    <w:rsid w:val="00620943"/>
    <w:rsid w:val="00620BD5"/>
    <w:rsid w:val="00620F70"/>
    <w:rsid w:val="006222E1"/>
    <w:rsid w:val="00622473"/>
    <w:rsid w:val="006227C3"/>
    <w:rsid w:val="00622BE9"/>
    <w:rsid w:val="00622F71"/>
    <w:rsid w:val="006230D8"/>
    <w:rsid w:val="00623114"/>
    <w:rsid w:val="00623734"/>
    <w:rsid w:val="00623DAD"/>
    <w:rsid w:val="0062439C"/>
    <w:rsid w:val="00624B14"/>
    <w:rsid w:val="006253BE"/>
    <w:rsid w:val="00625A6E"/>
    <w:rsid w:val="00625B72"/>
    <w:rsid w:val="00625E55"/>
    <w:rsid w:val="00626742"/>
    <w:rsid w:val="00626EF4"/>
    <w:rsid w:val="0062704B"/>
    <w:rsid w:val="00627DDB"/>
    <w:rsid w:val="006302D0"/>
    <w:rsid w:val="00631104"/>
    <w:rsid w:val="0063128F"/>
    <w:rsid w:val="006312E1"/>
    <w:rsid w:val="006313FE"/>
    <w:rsid w:val="00631D56"/>
    <w:rsid w:val="00632424"/>
    <w:rsid w:val="0063292C"/>
    <w:rsid w:val="0063318A"/>
    <w:rsid w:val="006331B9"/>
    <w:rsid w:val="00633ACB"/>
    <w:rsid w:val="00633EE2"/>
    <w:rsid w:val="00633EEB"/>
    <w:rsid w:val="00634301"/>
    <w:rsid w:val="006344E4"/>
    <w:rsid w:val="00634B84"/>
    <w:rsid w:val="00634FA4"/>
    <w:rsid w:val="00635060"/>
    <w:rsid w:val="0063508C"/>
    <w:rsid w:val="00635612"/>
    <w:rsid w:val="00635EE3"/>
    <w:rsid w:val="006365F9"/>
    <w:rsid w:val="00636628"/>
    <w:rsid w:val="006367CF"/>
    <w:rsid w:val="00636923"/>
    <w:rsid w:val="0063699B"/>
    <w:rsid w:val="0063741A"/>
    <w:rsid w:val="0063747F"/>
    <w:rsid w:val="00637B2B"/>
    <w:rsid w:val="00640443"/>
    <w:rsid w:val="006405FB"/>
    <w:rsid w:val="00640802"/>
    <w:rsid w:val="00640855"/>
    <w:rsid w:val="00640A79"/>
    <w:rsid w:val="00640C77"/>
    <w:rsid w:val="00640E5B"/>
    <w:rsid w:val="00640F19"/>
    <w:rsid w:val="00640F33"/>
    <w:rsid w:val="00641625"/>
    <w:rsid w:val="00641651"/>
    <w:rsid w:val="00641F3A"/>
    <w:rsid w:val="0064276B"/>
    <w:rsid w:val="00642968"/>
    <w:rsid w:val="00642BC6"/>
    <w:rsid w:val="006433B4"/>
    <w:rsid w:val="00643634"/>
    <w:rsid w:val="00643929"/>
    <w:rsid w:val="00643E39"/>
    <w:rsid w:val="006443E4"/>
    <w:rsid w:val="00644D84"/>
    <w:rsid w:val="00645267"/>
    <w:rsid w:val="0064526B"/>
    <w:rsid w:val="006455E2"/>
    <w:rsid w:val="00645B59"/>
    <w:rsid w:val="0064672D"/>
    <w:rsid w:val="00646A6B"/>
    <w:rsid w:val="00646E53"/>
    <w:rsid w:val="00647319"/>
    <w:rsid w:val="00647866"/>
    <w:rsid w:val="00650219"/>
    <w:rsid w:val="00650256"/>
    <w:rsid w:val="00650352"/>
    <w:rsid w:val="0065236B"/>
    <w:rsid w:val="00652A5F"/>
    <w:rsid w:val="00652D2D"/>
    <w:rsid w:val="0065303F"/>
    <w:rsid w:val="006532B4"/>
    <w:rsid w:val="00654AB2"/>
    <w:rsid w:val="00654D76"/>
    <w:rsid w:val="0065502D"/>
    <w:rsid w:val="00655371"/>
    <w:rsid w:val="00655554"/>
    <w:rsid w:val="00655802"/>
    <w:rsid w:val="006558C3"/>
    <w:rsid w:val="006559B0"/>
    <w:rsid w:val="006563D4"/>
    <w:rsid w:val="00656779"/>
    <w:rsid w:val="00656D05"/>
    <w:rsid w:val="00656ECF"/>
    <w:rsid w:val="00657645"/>
    <w:rsid w:val="006578AE"/>
    <w:rsid w:val="006578E9"/>
    <w:rsid w:val="00657A53"/>
    <w:rsid w:val="00657B98"/>
    <w:rsid w:val="00657DEF"/>
    <w:rsid w:val="006602E0"/>
    <w:rsid w:val="00660E15"/>
    <w:rsid w:val="006612AF"/>
    <w:rsid w:val="00661ACD"/>
    <w:rsid w:val="00661D58"/>
    <w:rsid w:val="00662A93"/>
    <w:rsid w:val="00662D30"/>
    <w:rsid w:val="006634E9"/>
    <w:rsid w:val="0066562D"/>
    <w:rsid w:val="00665764"/>
    <w:rsid w:val="006657C8"/>
    <w:rsid w:val="00665CC9"/>
    <w:rsid w:val="006667FC"/>
    <w:rsid w:val="006671A7"/>
    <w:rsid w:val="006675D1"/>
    <w:rsid w:val="006675D8"/>
    <w:rsid w:val="00667C90"/>
    <w:rsid w:val="00670082"/>
    <w:rsid w:val="00670482"/>
    <w:rsid w:val="00670C2A"/>
    <w:rsid w:val="00670CA6"/>
    <w:rsid w:val="00670F6C"/>
    <w:rsid w:val="00671841"/>
    <w:rsid w:val="0067188D"/>
    <w:rsid w:val="00671959"/>
    <w:rsid w:val="00671BA8"/>
    <w:rsid w:val="00671E3F"/>
    <w:rsid w:val="00671E50"/>
    <w:rsid w:val="0067235E"/>
    <w:rsid w:val="006723B0"/>
    <w:rsid w:val="006727DC"/>
    <w:rsid w:val="00672BC7"/>
    <w:rsid w:val="00672DD9"/>
    <w:rsid w:val="00673691"/>
    <w:rsid w:val="00673AAE"/>
    <w:rsid w:val="00674178"/>
    <w:rsid w:val="00674A3D"/>
    <w:rsid w:val="006752F6"/>
    <w:rsid w:val="00675D0C"/>
    <w:rsid w:val="00675D10"/>
    <w:rsid w:val="006761EE"/>
    <w:rsid w:val="00676D69"/>
    <w:rsid w:val="006774C4"/>
    <w:rsid w:val="0067766C"/>
    <w:rsid w:val="0068020B"/>
    <w:rsid w:val="006807EF"/>
    <w:rsid w:val="00680960"/>
    <w:rsid w:val="00680C1E"/>
    <w:rsid w:val="006810E7"/>
    <w:rsid w:val="00681371"/>
    <w:rsid w:val="006813D3"/>
    <w:rsid w:val="00681F41"/>
    <w:rsid w:val="00681F7C"/>
    <w:rsid w:val="00682920"/>
    <w:rsid w:val="00682E51"/>
    <w:rsid w:val="006833CA"/>
    <w:rsid w:val="0068393A"/>
    <w:rsid w:val="006840D2"/>
    <w:rsid w:val="00684BDB"/>
    <w:rsid w:val="00685146"/>
    <w:rsid w:val="00685D89"/>
    <w:rsid w:val="00685DF4"/>
    <w:rsid w:val="00685F12"/>
    <w:rsid w:val="006870DE"/>
    <w:rsid w:val="006874B2"/>
    <w:rsid w:val="00687757"/>
    <w:rsid w:val="00687F92"/>
    <w:rsid w:val="00690077"/>
    <w:rsid w:val="00690168"/>
    <w:rsid w:val="00690410"/>
    <w:rsid w:val="006907CD"/>
    <w:rsid w:val="0069097C"/>
    <w:rsid w:val="00690E8B"/>
    <w:rsid w:val="00690F25"/>
    <w:rsid w:val="00690F5E"/>
    <w:rsid w:val="006919A8"/>
    <w:rsid w:val="00693117"/>
    <w:rsid w:val="0069311D"/>
    <w:rsid w:val="00694A89"/>
    <w:rsid w:val="00694E18"/>
    <w:rsid w:val="00694E3C"/>
    <w:rsid w:val="0069619E"/>
    <w:rsid w:val="00696523"/>
    <w:rsid w:val="0069677D"/>
    <w:rsid w:val="00696853"/>
    <w:rsid w:val="00696954"/>
    <w:rsid w:val="0069695A"/>
    <w:rsid w:val="00696F60"/>
    <w:rsid w:val="0069715E"/>
    <w:rsid w:val="006A014F"/>
    <w:rsid w:val="006A02D4"/>
    <w:rsid w:val="006A048D"/>
    <w:rsid w:val="006A07EE"/>
    <w:rsid w:val="006A0831"/>
    <w:rsid w:val="006A0916"/>
    <w:rsid w:val="006A0F89"/>
    <w:rsid w:val="006A1E4F"/>
    <w:rsid w:val="006A1F0E"/>
    <w:rsid w:val="006A2CFE"/>
    <w:rsid w:val="006A328E"/>
    <w:rsid w:val="006A3ACC"/>
    <w:rsid w:val="006A3F64"/>
    <w:rsid w:val="006A41AD"/>
    <w:rsid w:val="006A5055"/>
    <w:rsid w:val="006A525B"/>
    <w:rsid w:val="006A526E"/>
    <w:rsid w:val="006A557F"/>
    <w:rsid w:val="006A55A1"/>
    <w:rsid w:val="006A5FAE"/>
    <w:rsid w:val="006A6160"/>
    <w:rsid w:val="006A6226"/>
    <w:rsid w:val="006A6334"/>
    <w:rsid w:val="006A6CCD"/>
    <w:rsid w:val="006A7D72"/>
    <w:rsid w:val="006B03E2"/>
    <w:rsid w:val="006B0812"/>
    <w:rsid w:val="006B0939"/>
    <w:rsid w:val="006B0F3F"/>
    <w:rsid w:val="006B12A4"/>
    <w:rsid w:val="006B13DA"/>
    <w:rsid w:val="006B2747"/>
    <w:rsid w:val="006B3351"/>
    <w:rsid w:val="006B345D"/>
    <w:rsid w:val="006B4844"/>
    <w:rsid w:val="006B4F73"/>
    <w:rsid w:val="006B55E0"/>
    <w:rsid w:val="006B5757"/>
    <w:rsid w:val="006B5B46"/>
    <w:rsid w:val="006B5B7D"/>
    <w:rsid w:val="006B5CB9"/>
    <w:rsid w:val="006B62D2"/>
    <w:rsid w:val="006B6BBF"/>
    <w:rsid w:val="006B7051"/>
    <w:rsid w:val="006B78CC"/>
    <w:rsid w:val="006B7C82"/>
    <w:rsid w:val="006C026A"/>
    <w:rsid w:val="006C02C0"/>
    <w:rsid w:val="006C0777"/>
    <w:rsid w:val="006C0C85"/>
    <w:rsid w:val="006C110D"/>
    <w:rsid w:val="006C1119"/>
    <w:rsid w:val="006C14E1"/>
    <w:rsid w:val="006C19D9"/>
    <w:rsid w:val="006C1D1F"/>
    <w:rsid w:val="006C2424"/>
    <w:rsid w:val="006C278A"/>
    <w:rsid w:val="006C2819"/>
    <w:rsid w:val="006C3051"/>
    <w:rsid w:val="006C3F58"/>
    <w:rsid w:val="006C4230"/>
    <w:rsid w:val="006C4424"/>
    <w:rsid w:val="006C51A9"/>
    <w:rsid w:val="006C5913"/>
    <w:rsid w:val="006C6A3C"/>
    <w:rsid w:val="006C6C79"/>
    <w:rsid w:val="006C6C9B"/>
    <w:rsid w:val="006C749E"/>
    <w:rsid w:val="006C77DF"/>
    <w:rsid w:val="006C7AA5"/>
    <w:rsid w:val="006C7F00"/>
    <w:rsid w:val="006D0721"/>
    <w:rsid w:val="006D0AB0"/>
    <w:rsid w:val="006D1286"/>
    <w:rsid w:val="006D1927"/>
    <w:rsid w:val="006D1C3E"/>
    <w:rsid w:val="006D1FF7"/>
    <w:rsid w:val="006D2372"/>
    <w:rsid w:val="006D3269"/>
    <w:rsid w:val="006D3CC8"/>
    <w:rsid w:val="006D4272"/>
    <w:rsid w:val="006D436D"/>
    <w:rsid w:val="006D4950"/>
    <w:rsid w:val="006D5188"/>
    <w:rsid w:val="006D587B"/>
    <w:rsid w:val="006D5A49"/>
    <w:rsid w:val="006D5C2C"/>
    <w:rsid w:val="006D60F7"/>
    <w:rsid w:val="006D6660"/>
    <w:rsid w:val="006D6B13"/>
    <w:rsid w:val="006D6CAA"/>
    <w:rsid w:val="006D7972"/>
    <w:rsid w:val="006E05B2"/>
    <w:rsid w:val="006E0BF4"/>
    <w:rsid w:val="006E0DBB"/>
    <w:rsid w:val="006E0DFE"/>
    <w:rsid w:val="006E1B09"/>
    <w:rsid w:val="006E42A3"/>
    <w:rsid w:val="006E482B"/>
    <w:rsid w:val="006E49C7"/>
    <w:rsid w:val="006E4AE4"/>
    <w:rsid w:val="006E4E25"/>
    <w:rsid w:val="006E6525"/>
    <w:rsid w:val="006E69BD"/>
    <w:rsid w:val="006E7780"/>
    <w:rsid w:val="006E7850"/>
    <w:rsid w:val="006E79F6"/>
    <w:rsid w:val="006E7E3C"/>
    <w:rsid w:val="006F02A2"/>
    <w:rsid w:val="006F049F"/>
    <w:rsid w:val="006F066A"/>
    <w:rsid w:val="006F07E3"/>
    <w:rsid w:val="006F1324"/>
    <w:rsid w:val="006F1674"/>
    <w:rsid w:val="006F1E66"/>
    <w:rsid w:val="006F25BB"/>
    <w:rsid w:val="006F2E4A"/>
    <w:rsid w:val="006F317F"/>
    <w:rsid w:val="006F3350"/>
    <w:rsid w:val="006F392C"/>
    <w:rsid w:val="006F3A30"/>
    <w:rsid w:val="006F416B"/>
    <w:rsid w:val="006F4210"/>
    <w:rsid w:val="006F44AF"/>
    <w:rsid w:val="006F51DC"/>
    <w:rsid w:val="006F56F5"/>
    <w:rsid w:val="006F626D"/>
    <w:rsid w:val="006F68F6"/>
    <w:rsid w:val="006F710D"/>
    <w:rsid w:val="007004EC"/>
    <w:rsid w:val="007005AA"/>
    <w:rsid w:val="007006B4"/>
    <w:rsid w:val="00701AFA"/>
    <w:rsid w:val="00702858"/>
    <w:rsid w:val="00702873"/>
    <w:rsid w:val="00702AF7"/>
    <w:rsid w:val="00703200"/>
    <w:rsid w:val="00703B1D"/>
    <w:rsid w:val="00704664"/>
    <w:rsid w:val="00705146"/>
    <w:rsid w:val="007052A3"/>
    <w:rsid w:val="00705A0E"/>
    <w:rsid w:val="00705A3D"/>
    <w:rsid w:val="00705C1F"/>
    <w:rsid w:val="007063C0"/>
    <w:rsid w:val="00706A44"/>
    <w:rsid w:val="00707953"/>
    <w:rsid w:val="007079F6"/>
    <w:rsid w:val="007104C6"/>
    <w:rsid w:val="0071066C"/>
    <w:rsid w:val="007107BF"/>
    <w:rsid w:val="00710B03"/>
    <w:rsid w:val="007117A4"/>
    <w:rsid w:val="00711B80"/>
    <w:rsid w:val="00711C2B"/>
    <w:rsid w:val="00712606"/>
    <w:rsid w:val="00712A05"/>
    <w:rsid w:val="00712D6B"/>
    <w:rsid w:val="00713655"/>
    <w:rsid w:val="00713792"/>
    <w:rsid w:val="007137E7"/>
    <w:rsid w:val="00713E04"/>
    <w:rsid w:val="00714212"/>
    <w:rsid w:val="007144DD"/>
    <w:rsid w:val="00714A9A"/>
    <w:rsid w:val="00715CFA"/>
    <w:rsid w:val="00715DFB"/>
    <w:rsid w:val="00715EDE"/>
    <w:rsid w:val="00715F6F"/>
    <w:rsid w:val="00716005"/>
    <w:rsid w:val="00716157"/>
    <w:rsid w:val="00716ACB"/>
    <w:rsid w:val="00716EEC"/>
    <w:rsid w:val="0071780F"/>
    <w:rsid w:val="0072012F"/>
    <w:rsid w:val="00720661"/>
    <w:rsid w:val="00720946"/>
    <w:rsid w:val="00720B9F"/>
    <w:rsid w:val="00720D78"/>
    <w:rsid w:val="007211F5"/>
    <w:rsid w:val="00721252"/>
    <w:rsid w:val="007214C9"/>
    <w:rsid w:val="00721953"/>
    <w:rsid w:val="00721CAB"/>
    <w:rsid w:val="007222C2"/>
    <w:rsid w:val="007222EB"/>
    <w:rsid w:val="00722850"/>
    <w:rsid w:val="0072295E"/>
    <w:rsid w:val="00722CA0"/>
    <w:rsid w:val="007231C6"/>
    <w:rsid w:val="00723279"/>
    <w:rsid w:val="0072352A"/>
    <w:rsid w:val="00724043"/>
    <w:rsid w:val="007249A8"/>
    <w:rsid w:val="007251BB"/>
    <w:rsid w:val="00725596"/>
    <w:rsid w:val="00725A39"/>
    <w:rsid w:val="00726161"/>
    <w:rsid w:val="00726C5B"/>
    <w:rsid w:val="00726F54"/>
    <w:rsid w:val="00727FDB"/>
    <w:rsid w:val="007300C2"/>
    <w:rsid w:val="00730C05"/>
    <w:rsid w:val="00730FA1"/>
    <w:rsid w:val="007316EA"/>
    <w:rsid w:val="007318C8"/>
    <w:rsid w:val="00731C08"/>
    <w:rsid w:val="00731EF0"/>
    <w:rsid w:val="007327BB"/>
    <w:rsid w:val="00732CA0"/>
    <w:rsid w:val="0073369D"/>
    <w:rsid w:val="007339D9"/>
    <w:rsid w:val="00733C09"/>
    <w:rsid w:val="0073498F"/>
    <w:rsid w:val="00734C06"/>
    <w:rsid w:val="00734DDF"/>
    <w:rsid w:val="0073643D"/>
    <w:rsid w:val="00736AB6"/>
    <w:rsid w:val="00736B0B"/>
    <w:rsid w:val="00736B8E"/>
    <w:rsid w:val="00736C73"/>
    <w:rsid w:val="007372B3"/>
    <w:rsid w:val="007377BB"/>
    <w:rsid w:val="00737DCF"/>
    <w:rsid w:val="0073E38B"/>
    <w:rsid w:val="00740A26"/>
    <w:rsid w:val="00740E18"/>
    <w:rsid w:val="00742609"/>
    <w:rsid w:val="00742B2D"/>
    <w:rsid w:val="00743128"/>
    <w:rsid w:val="00743F16"/>
    <w:rsid w:val="00744797"/>
    <w:rsid w:val="007457D5"/>
    <w:rsid w:val="00745E5F"/>
    <w:rsid w:val="00746144"/>
    <w:rsid w:val="0074773C"/>
    <w:rsid w:val="00747959"/>
    <w:rsid w:val="00750B66"/>
    <w:rsid w:val="00751310"/>
    <w:rsid w:val="00751647"/>
    <w:rsid w:val="007517E0"/>
    <w:rsid w:val="00752333"/>
    <w:rsid w:val="00753436"/>
    <w:rsid w:val="007536F2"/>
    <w:rsid w:val="00753B50"/>
    <w:rsid w:val="007540B8"/>
    <w:rsid w:val="007543CF"/>
    <w:rsid w:val="00755A5C"/>
    <w:rsid w:val="00757259"/>
    <w:rsid w:val="007603A1"/>
    <w:rsid w:val="0076077F"/>
    <w:rsid w:val="00760A6B"/>
    <w:rsid w:val="00760C68"/>
    <w:rsid w:val="00760EEA"/>
    <w:rsid w:val="00761717"/>
    <w:rsid w:val="00761EB1"/>
    <w:rsid w:val="00762013"/>
    <w:rsid w:val="007622CD"/>
    <w:rsid w:val="00762FF5"/>
    <w:rsid w:val="007636E6"/>
    <w:rsid w:val="00763F0E"/>
    <w:rsid w:val="0076423C"/>
    <w:rsid w:val="007646BD"/>
    <w:rsid w:val="007649A0"/>
    <w:rsid w:val="007657A4"/>
    <w:rsid w:val="00766384"/>
    <w:rsid w:val="00766653"/>
    <w:rsid w:val="00766A5E"/>
    <w:rsid w:val="00766FB1"/>
    <w:rsid w:val="007674F8"/>
    <w:rsid w:val="00767514"/>
    <w:rsid w:val="00767517"/>
    <w:rsid w:val="0076781C"/>
    <w:rsid w:val="007700D9"/>
    <w:rsid w:val="007703E4"/>
    <w:rsid w:val="007703EA"/>
    <w:rsid w:val="007706D2"/>
    <w:rsid w:val="00770A14"/>
    <w:rsid w:val="00771A90"/>
    <w:rsid w:val="00771E5E"/>
    <w:rsid w:val="00772147"/>
    <w:rsid w:val="0077223D"/>
    <w:rsid w:val="00772B8F"/>
    <w:rsid w:val="00773800"/>
    <w:rsid w:val="00773C17"/>
    <w:rsid w:val="007744EE"/>
    <w:rsid w:val="0077550A"/>
    <w:rsid w:val="0077621D"/>
    <w:rsid w:val="007763E5"/>
    <w:rsid w:val="00777C73"/>
    <w:rsid w:val="00777E47"/>
    <w:rsid w:val="007803F5"/>
    <w:rsid w:val="007803FD"/>
    <w:rsid w:val="007807A9"/>
    <w:rsid w:val="00780CD1"/>
    <w:rsid w:val="00780FBC"/>
    <w:rsid w:val="00780FED"/>
    <w:rsid w:val="00781B4B"/>
    <w:rsid w:val="00781D4C"/>
    <w:rsid w:val="0078250E"/>
    <w:rsid w:val="00782864"/>
    <w:rsid w:val="007828DB"/>
    <w:rsid w:val="007828F3"/>
    <w:rsid w:val="007831EA"/>
    <w:rsid w:val="00783B70"/>
    <w:rsid w:val="007840A4"/>
    <w:rsid w:val="00784208"/>
    <w:rsid w:val="007843F1"/>
    <w:rsid w:val="00784876"/>
    <w:rsid w:val="00784ED8"/>
    <w:rsid w:val="00784EF0"/>
    <w:rsid w:val="00785D31"/>
    <w:rsid w:val="0078634A"/>
    <w:rsid w:val="00786632"/>
    <w:rsid w:val="00786AA5"/>
    <w:rsid w:val="007874D3"/>
    <w:rsid w:val="0078753B"/>
    <w:rsid w:val="00787A64"/>
    <w:rsid w:val="00787E17"/>
    <w:rsid w:val="00787E73"/>
    <w:rsid w:val="007904EE"/>
    <w:rsid w:val="007907CD"/>
    <w:rsid w:val="0079121C"/>
    <w:rsid w:val="00791B71"/>
    <w:rsid w:val="0079226D"/>
    <w:rsid w:val="007925EF"/>
    <w:rsid w:val="007927B4"/>
    <w:rsid w:val="00792A2F"/>
    <w:rsid w:val="00792E66"/>
    <w:rsid w:val="00792F9D"/>
    <w:rsid w:val="00793590"/>
    <w:rsid w:val="00793940"/>
    <w:rsid w:val="00794F3B"/>
    <w:rsid w:val="007955E3"/>
    <w:rsid w:val="00796FE3"/>
    <w:rsid w:val="00797077"/>
    <w:rsid w:val="007975F8"/>
    <w:rsid w:val="0079772D"/>
    <w:rsid w:val="00797D3A"/>
    <w:rsid w:val="007A056E"/>
    <w:rsid w:val="007A0BCA"/>
    <w:rsid w:val="007A0DD3"/>
    <w:rsid w:val="007A18D5"/>
    <w:rsid w:val="007A2113"/>
    <w:rsid w:val="007A218C"/>
    <w:rsid w:val="007A2615"/>
    <w:rsid w:val="007A2EEC"/>
    <w:rsid w:val="007A2FFB"/>
    <w:rsid w:val="007A3DFE"/>
    <w:rsid w:val="007A417B"/>
    <w:rsid w:val="007A48D2"/>
    <w:rsid w:val="007A4F27"/>
    <w:rsid w:val="007A4F5A"/>
    <w:rsid w:val="007A55D7"/>
    <w:rsid w:val="007A676B"/>
    <w:rsid w:val="007A682A"/>
    <w:rsid w:val="007A6D4A"/>
    <w:rsid w:val="007A712B"/>
    <w:rsid w:val="007A7839"/>
    <w:rsid w:val="007A7C51"/>
    <w:rsid w:val="007A7D63"/>
    <w:rsid w:val="007B004B"/>
    <w:rsid w:val="007B020E"/>
    <w:rsid w:val="007B129B"/>
    <w:rsid w:val="007B182A"/>
    <w:rsid w:val="007B187A"/>
    <w:rsid w:val="007B24C3"/>
    <w:rsid w:val="007B2AA2"/>
    <w:rsid w:val="007B2AFE"/>
    <w:rsid w:val="007B3364"/>
    <w:rsid w:val="007B342F"/>
    <w:rsid w:val="007B3FD8"/>
    <w:rsid w:val="007B583D"/>
    <w:rsid w:val="007B6316"/>
    <w:rsid w:val="007B6978"/>
    <w:rsid w:val="007B7207"/>
    <w:rsid w:val="007B735B"/>
    <w:rsid w:val="007B7E9D"/>
    <w:rsid w:val="007C0210"/>
    <w:rsid w:val="007C0337"/>
    <w:rsid w:val="007C0489"/>
    <w:rsid w:val="007C053B"/>
    <w:rsid w:val="007C0CFD"/>
    <w:rsid w:val="007C1191"/>
    <w:rsid w:val="007C16A4"/>
    <w:rsid w:val="007C17F8"/>
    <w:rsid w:val="007C2B06"/>
    <w:rsid w:val="007C3BAD"/>
    <w:rsid w:val="007C3D2A"/>
    <w:rsid w:val="007C3F75"/>
    <w:rsid w:val="007C41C5"/>
    <w:rsid w:val="007C474D"/>
    <w:rsid w:val="007C487F"/>
    <w:rsid w:val="007C5794"/>
    <w:rsid w:val="007C593C"/>
    <w:rsid w:val="007C5B57"/>
    <w:rsid w:val="007C5E71"/>
    <w:rsid w:val="007C60D4"/>
    <w:rsid w:val="007C60DB"/>
    <w:rsid w:val="007C6902"/>
    <w:rsid w:val="007C6FE7"/>
    <w:rsid w:val="007C7D40"/>
    <w:rsid w:val="007D0350"/>
    <w:rsid w:val="007D03AA"/>
    <w:rsid w:val="007D07B5"/>
    <w:rsid w:val="007D0CC8"/>
    <w:rsid w:val="007D0E97"/>
    <w:rsid w:val="007D100B"/>
    <w:rsid w:val="007D2378"/>
    <w:rsid w:val="007D2749"/>
    <w:rsid w:val="007D295D"/>
    <w:rsid w:val="007D29B6"/>
    <w:rsid w:val="007D2E72"/>
    <w:rsid w:val="007D3099"/>
    <w:rsid w:val="007D32E6"/>
    <w:rsid w:val="007D3684"/>
    <w:rsid w:val="007D45C8"/>
    <w:rsid w:val="007D47B3"/>
    <w:rsid w:val="007D4A2E"/>
    <w:rsid w:val="007D4FA0"/>
    <w:rsid w:val="007D51CA"/>
    <w:rsid w:val="007D5459"/>
    <w:rsid w:val="007D65E2"/>
    <w:rsid w:val="007D6779"/>
    <w:rsid w:val="007D7021"/>
    <w:rsid w:val="007D79FF"/>
    <w:rsid w:val="007E046D"/>
    <w:rsid w:val="007E1806"/>
    <w:rsid w:val="007E1E32"/>
    <w:rsid w:val="007E25E6"/>
    <w:rsid w:val="007E359D"/>
    <w:rsid w:val="007E3CA7"/>
    <w:rsid w:val="007E4582"/>
    <w:rsid w:val="007E4E6C"/>
    <w:rsid w:val="007E4FEB"/>
    <w:rsid w:val="007E5E32"/>
    <w:rsid w:val="007E5EDA"/>
    <w:rsid w:val="007E6291"/>
    <w:rsid w:val="007E7239"/>
    <w:rsid w:val="007F07DA"/>
    <w:rsid w:val="007F1399"/>
    <w:rsid w:val="007F1E26"/>
    <w:rsid w:val="007F1F25"/>
    <w:rsid w:val="007F20DF"/>
    <w:rsid w:val="007F21BB"/>
    <w:rsid w:val="007F25CA"/>
    <w:rsid w:val="007F27C1"/>
    <w:rsid w:val="007F2DE7"/>
    <w:rsid w:val="007F354F"/>
    <w:rsid w:val="007F3CD8"/>
    <w:rsid w:val="007F3E20"/>
    <w:rsid w:val="007F4B9E"/>
    <w:rsid w:val="007F5ED5"/>
    <w:rsid w:val="007F5FAA"/>
    <w:rsid w:val="007F607E"/>
    <w:rsid w:val="007F6217"/>
    <w:rsid w:val="007F6546"/>
    <w:rsid w:val="007F71B2"/>
    <w:rsid w:val="008000A8"/>
    <w:rsid w:val="0080066A"/>
    <w:rsid w:val="00800915"/>
    <w:rsid w:val="00801187"/>
    <w:rsid w:val="0080215B"/>
    <w:rsid w:val="0080257E"/>
    <w:rsid w:val="008026EB"/>
    <w:rsid w:val="00802C9D"/>
    <w:rsid w:val="00802D96"/>
    <w:rsid w:val="00803217"/>
    <w:rsid w:val="00803259"/>
    <w:rsid w:val="00803552"/>
    <w:rsid w:val="0080383B"/>
    <w:rsid w:val="0080558B"/>
    <w:rsid w:val="008056FC"/>
    <w:rsid w:val="00805999"/>
    <w:rsid w:val="00805AFD"/>
    <w:rsid w:val="008062D8"/>
    <w:rsid w:val="008068FF"/>
    <w:rsid w:val="008072D9"/>
    <w:rsid w:val="008075BB"/>
    <w:rsid w:val="00807DE3"/>
    <w:rsid w:val="00807F19"/>
    <w:rsid w:val="008104CA"/>
    <w:rsid w:val="00810952"/>
    <w:rsid w:val="0081139C"/>
    <w:rsid w:val="00811748"/>
    <w:rsid w:val="008120AE"/>
    <w:rsid w:val="00812D00"/>
    <w:rsid w:val="00812D8F"/>
    <w:rsid w:val="008130AE"/>
    <w:rsid w:val="00813D27"/>
    <w:rsid w:val="00814BD4"/>
    <w:rsid w:val="00814DFF"/>
    <w:rsid w:val="00815A58"/>
    <w:rsid w:val="0081724B"/>
    <w:rsid w:val="008177A5"/>
    <w:rsid w:val="00817D58"/>
    <w:rsid w:val="00817E30"/>
    <w:rsid w:val="00820838"/>
    <w:rsid w:val="008212AF"/>
    <w:rsid w:val="008215B9"/>
    <w:rsid w:val="0082224A"/>
    <w:rsid w:val="00822D88"/>
    <w:rsid w:val="00822EFE"/>
    <w:rsid w:val="00823DEE"/>
    <w:rsid w:val="00823F02"/>
    <w:rsid w:val="00824623"/>
    <w:rsid w:val="00825139"/>
    <w:rsid w:val="00825774"/>
    <w:rsid w:val="00825945"/>
    <w:rsid w:val="00826B4D"/>
    <w:rsid w:val="00827B69"/>
    <w:rsid w:val="00827DCC"/>
    <w:rsid w:val="00831DB7"/>
    <w:rsid w:val="0083270F"/>
    <w:rsid w:val="0083276A"/>
    <w:rsid w:val="008329AF"/>
    <w:rsid w:val="00833468"/>
    <w:rsid w:val="00833A30"/>
    <w:rsid w:val="00833DED"/>
    <w:rsid w:val="0083400E"/>
    <w:rsid w:val="00834366"/>
    <w:rsid w:val="0083482E"/>
    <w:rsid w:val="00834DD3"/>
    <w:rsid w:val="008356D1"/>
    <w:rsid w:val="0083587D"/>
    <w:rsid w:val="00835A5B"/>
    <w:rsid w:val="00835B05"/>
    <w:rsid w:val="0083623B"/>
    <w:rsid w:val="00836717"/>
    <w:rsid w:val="00836D91"/>
    <w:rsid w:val="00836FDC"/>
    <w:rsid w:val="00837763"/>
    <w:rsid w:val="008377C8"/>
    <w:rsid w:val="00837C08"/>
    <w:rsid w:val="00837F65"/>
    <w:rsid w:val="0084077A"/>
    <w:rsid w:val="008407CC"/>
    <w:rsid w:val="00840858"/>
    <w:rsid w:val="00840ABE"/>
    <w:rsid w:val="00840E12"/>
    <w:rsid w:val="008410C2"/>
    <w:rsid w:val="008418D0"/>
    <w:rsid w:val="00841A63"/>
    <w:rsid w:val="0084220D"/>
    <w:rsid w:val="0084375E"/>
    <w:rsid w:val="00843940"/>
    <w:rsid w:val="00843DB6"/>
    <w:rsid w:val="00843ED1"/>
    <w:rsid w:val="00843FDF"/>
    <w:rsid w:val="0084478C"/>
    <w:rsid w:val="00844A28"/>
    <w:rsid w:val="008454F0"/>
    <w:rsid w:val="008456EE"/>
    <w:rsid w:val="00845A56"/>
    <w:rsid w:val="00845E65"/>
    <w:rsid w:val="00846798"/>
    <w:rsid w:val="008467F1"/>
    <w:rsid w:val="0084778F"/>
    <w:rsid w:val="008479C3"/>
    <w:rsid w:val="008512BF"/>
    <w:rsid w:val="0085191B"/>
    <w:rsid w:val="00851C6F"/>
    <w:rsid w:val="00851FEE"/>
    <w:rsid w:val="008525B7"/>
    <w:rsid w:val="00852946"/>
    <w:rsid w:val="008529F0"/>
    <w:rsid w:val="00852B6A"/>
    <w:rsid w:val="00853413"/>
    <w:rsid w:val="00853DED"/>
    <w:rsid w:val="00853EE9"/>
    <w:rsid w:val="00854BAA"/>
    <w:rsid w:val="0085551E"/>
    <w:rsid w:val="00855E81"/>
    <w:rsid w:val="00855EFE"/>
    <w:rsid w:val="00855FAA"/>
    <w:rsid w:val="00856507"/>
    <w:rsid w:val="00856AD1"/>
    <w:rsid w:val="00856C6F"/>
    <w:rsid w:val="00856F56"/>
    <w:rsid w:val="00857008"/>
    <w:rsid w:val="0085768C"/>
    <w:rsid w:val="0085797F"/>
    <w:rsid w:val="008579CE"/>
    <w:rsid w:val="0086056C"/>
    <w:rsid w:val="00860791"/>
    <w:rsid w:val="00860C08"/>
    <w:rsid w:val="00861420"/>
    <w:rsid w:val="00861AD7"/>
    <w:rsid w:val="00862BAA"/>
    <w:rsid w:val="00862C44"/>
    <w:rsid w:val="00862C9D"/>
    <w:rsid w:val="00863AF6"/>
    <w:rsid w:val="008643B6"/>
    <w:rsid w:val="00864845"/>
    <w:rsid w:val="00864AEC"/>
    <w:rsid w:val="00864ED5"/>
    <w:rsid w:val="00865914"/>
    <w:rsid w:val="00865A65"/>
    <w:rsid w:val="00865D6A"/>
    <w:rsid w:val="00866A34"/>
    <w:rsid w:val="008671B2"/>
    <w:rsid w:val="0086771C"/>
    <w:rsid w:val="008679A8"/>
    <w:rsid w:val="00867FB3"/>
    <w:rsid w:val="00867FC9"/>
    <w:rsid w:val="00870901"/>
    <w:rsid w:val="0087093C"/>
    <w:rsid w:val="00871F54"/>
    <w:rsid w:val="008724BB"/>
    <w:rsid w:val="00872D80"/>
    <w:rsid w:val="00874971"/>
    <w:rsid w:val="00874C5F"/>
    <w:rsid w:val="00875085"/>
    <w:rsid w:val="008753D7"/>
    <w:rsid w:val="00875648"/>
    <w:rsid w:val="00875942"/>
    <w:rsid w:val="008759A1"/>
    <w:rsid w:val="00876244"/>
    <w:rsid w:val="0087695D"/>
    <w:rsid w:val="00876D65"/>
    <w:rsid w:val="00877202"/>
    <w:rsid w:val="00877B80"/>
    <w:rsid w:val="00880055"/>
    <w:rsid w:val="00880D1F"/>
    <w:rsid w:val="00880D93"/>
    <w:rsid w:val="00880E8A"/>
    <w:rsid w:val="00881284"/>
    <w:rsid w:val="0088128E"/>
    <w:rsid w:val="008815B5"/>
    <w:rsid w:val="00881698"/>
    <w:rsid w:val="008824BE"/>
    <w:rsid w:val="008829CD"/>
    <w:rsid w:val="00882BB4"/>
    <w:rsid w:val="0088366D"/>
    <w:rsid w:val="008836F3"/>
    <w:rsid w:val="00883FEA"/>
    <w:rsid w:val="0088562A"/>
    <w:rsid w:val="0088562E"/>
    <w:rsid w:val="00885A04"/>
    <w:rsid w:val="00885ACC"/>
    <w:rsid w:val="00885F54"/>
    <w:rsid w:val="00885F7D"/>
    <w:rsid w:val="00886040"/>
    <w:rsid w:val="00886B8B"/>
    <w:rsid w:val="00886D0F"/>
    <w:rsid w:val="00887110"/>
    <w:rsid w:val="008872CA"/>
    <w:rsid w:val="0088757E"/>
    <w:rsid w:val="00890088"/>
    <w:rsid w:val="0089109B"/>
    <w:rsid w:val="00891170"/>
    <w:rsid w:val="0089158B"/>
    <w:rsid w:val="00891DA7"/>
    <w:rsid w:val="00892583"/>
    <w:rsid w:val="008929F2"/>
    <w:rsid w:val="0089345C"/>
    <w:rsid w:val="00893744"/>
    <w:rsid w:val="00893A7D"/>
    <w:rsid w:val="00893B88"/>
    <w:rsid w:val="008941A8"/>
    <w:rsid w:val="00894266"/>
    <w:rsid w:val="00894B61"/>
    <w:rsid w:val="00894D3E"/>
    <w:rsid w:val="008955F8"/>
    <w:rsid w:val="0089687E"/>
    <w:rsid w:val="00896CCC"/>
    <w:rsid w:val="0089735C"/>
    <w:rsid w:val="0089741B"/>
    <w:rsid w:val="00897C42"/>
    <w:rsid w:val="008A001A"/>
    <w:rsid w:val="008A0044"/>
    <w:rsid w:val="008A005A"/>
    <w:rsid w:val="008A0076"/>
    <w:rsid w:val="008A013E"/>
    <w:rsid w:val="008A0155"/>
    <w:rsid w:val="008A0428"/>
    <w:rsid w:val="008A07AF"/>
    <w:rsid w:val="008A12FB"/>
    <w:rsid w:val="008A1909"/>
    <w:rsid w:val="008A1E67"/>
    <w:rsid w:val="008A1FB4"/>
    <w:rsid w:val="008A2128"/>
    <w:rsid w:val="008A2D16"/>
    <w:rsid w:val="008A30AD"/>
    <w:rsid w:val="008A3DD7"/>
    <w:rsid w:val="008A3F20"/>
    <w:rsid w:val="008A3F34"/>
    <w:rsid w:val="008A4298"/>
    <w:rsid w:val="008A477D"/>
    <w:rsid w:val="008A4BC2"/>
    <w:rsid w:val="008A4EB1"/>
    <w:rsid w:val="008A51F8"/>
    <w:rsid w:val="008A5C5C"/>
    <w:rsid w:val="008A6264"/>
    <w:rsid w:val="008A659A"/>
    <w:rsid w:val="008A73F2"/>
    <w:rsid w:val="008A7551"/>
    <w:rsid w:val="008A75C5"/>
    <w:rsid w:val="008A7ACB"/>
    <w:rsid w:val="008A7B6C"/>
    <w:rsid w:val="008A7E51"/>
    <w:rsid w:val="008B0B8F"/>
    <w:rsid w:val="008B0BA0"/>
    <w:rsid w:val="008B0DEF"/>
    <w:rsid w:val="008B1651"/>
    <w:rsid w:val="008B1939"/>
    <w:rsid w:val="008B1B99"/>
    <w:rsid w:val="008B1CE5"/>
    <w:rsid w:val="008B200C"/>
    <w:rsid w:val="008B25A1"/>
    <w:rsid w:val="008B3B78"/>
    <w:rsid w:val="008B4315"/>
    <w:rsid w:val="008B4500"/>
    <w:rsid w:val="008B4AF9"/>
    <w:rsid w:val="008B5243"/>
    <w:rsid w:val="008B56C6"/>
    <w:rsid w:val="008B5A13"/>
    <w:rsid w:val="008B5BC8"/>
    <w:rsid w:val="008B5E4B"/>
    <w:rsid w:val="008B67BA"/>
    <w:rsid w:val="008B6ADE"/>
    <w:rsid w:val="008B6E4E"/>
    <w:rsid w:val="008B6E66"/>
    <w:rsid w:val="008B7331"/>
    <w:rsid w:val="008B77FC"/>
    <w:rsid w:val="008B7F6E"/>
    <w:rsid w:val="008B7F8E"/>
    <w:rsid w:val="008C0534"/>
    <w:rsid w:val="008C09AC"/>
    <w:rsid w:val="008C0FD6"/>
    <w:rsid w:val="008C113A"/>
    <w:rsid w:val="008C11B9"/>
    <w:rsid w:val="008C12AD"/>
    <w:rsid w:val="008C1AEE"/>
    <w:rsid w:val="008C20D3"/>
    <w:rsid w:val="008C2D73"/>
    <w:rsid w:val="008C3123"/>
    <w:rsid w:val="008C34D7"/>
    <w:rsid w:val="008C352E"/>
    <w:rsid w:val="008C3CF5"/>
    <w:rsid w:val="008C41E7"/>
    <w:rsid w:val="008C44BF"/>
    <w:rsid w:val="008C45EE"/>
    <w:rsid w:val="008C4E30"/>
    <w:rsid w:val="008C5066"/>
    <w:rsid w:val="008C6039"/>
    <w:rsid w:val="008C6222"/>
    <w:rsid w:val="008C6F9B"/>
    <w:rsid w:val="008C7E23"/>
    <w:rsid w:val="008D013A"/>
    <w:rsid w:val="008D0610"/>
    <w:rsid w:val="008D0CB7"/>
    <w:rsid w:val="008D26F5"/>
    <w:rsid w:val="008D369F"/>
    <w:rsid w:val="008D39A5"/>
    <w:rsid w:val="008D471D"/>
    <w:rsid w:val="008D4D41"/>
    <w:rsid w:val="008D5257"/>
    <w:rsid w:val="008D5406"/>
    <w:rsid w:val="008D59C4"/>
    <w:rsid w:val="008D6113"/>
    <w:rsid w:val="008D73DE"/>
    <w:rsid w:val="008D76A9"/>
    <w:rsid w:val="008DA3D2"/>
    <w:rsid w:val="008E0359"/>
    <w:rsid w:val="008E03E6"/>
    <w:rsid w:val="008E05ED"/>
    <w:rsid w:val="008E0A7D"/>
    <w:rsid w:val="008E1344"/>
    <w:rsid w:val="008E1F2F"/>
    <w:rsid w:val="008E1FE6"/>
    <w:rsid w:val="008E4006"/>
    <w:rsid w:val="008E4677"/>
    <w:rsid w:val="008E47D9"/>
    <w:rsid w:val="008E491C"/>
    <w:rsid w:val="008E4985"/>
    <w:rsid w:val="008E4996"/>
    <w:rsid w:val="008E4D81"/>
    <w:rsid w:val="008E4E06"/>
    <w:rsid w:val="008E5547"/>
    <w:rsid w:val="008E5AA2"/>
    <w:rsid w:val="008E5B48"/>
    <w:rsid w:val="008E5C13"/>
    <w:rsid w:val="008E5D8A"/>
    <w:rsid w:val="008E6440"/>
    <w:rsid w:val="008E68DA"/>
    <w:rsid w:val="008E6BC0"/>
    <w:rsid w:val="008E77D1"/>
    <w:rsid w:val="008F049C"/>
    <w:rsid w:val="008F04A3"/>
    <w:rsid w:val="008F05B9"/>
    <w:rsid w:val="008F111A"/>
    <w:rsid w:val="008F162E"/>
    <w:rsid w:val="008F19EA"/>
    <w:rsid w:val="008F1D63"/>
    <w:rsid w:val="008F1DC0"/>
    <w:rsid w:val="008F224D"/>
    <w:rsid w:val="008F2C1D"/>
    <w:rsid w:val="008F3351"/>
    <w:rsid w:val="008F37E8"/>
    <w:rsid w:val="008F3F6B"/>
    <w:rsid w:val="008F4224"/>
    <w:rsid w:val="008F44C1"/>
    <w:rsid w:val="008F4EDE"/>
    <w:rsid w:val="008F4FBA"/>
    <w:rsid w:val="008F55F9"/>
    <w:rsid w:val="008F5702"/>
    <w:rsid w:val="008F5B16"/>
    <w:rsid w:val="008F5B5C"/>
    <w:rsid w:val="008F6A00"/>
    <w:rsid w:val="008F6D17"/>
    <w:rsid w:val="008F711E"/>
    <w:rsid w:val="008F71BF"/>
    <w:rsid w:val="008F79DB"/>
    <w:rsid w:val="00900C72"/>
    <w:rsid w:val="00901605"/>
    <w:rsid w:val="009019D3"/>
    <w:rsid w:val="00901D23"/>
    <w:rsid w:val="00902659"/>
    <w:rsid w:val="0090288D"/>
    <w:rsid w:val="00902BEE"/>
    <w:rsid w:val="00903419"/>
    <w:rsid w:val="0090364B"/>
    <w:rsid w:val="00904410"/>
    <w:rsid w:val="009048E4"/>
    <w:rsid w:val="00904E64"/>
    <w:rsid w:val="00904F79"/>
    <w:rsid w:val="0090507B"/>
    <w:rsid w:val="00905227"/>
    <w:rsid w:val="0090522A"/>
    <w:rsid w:val="00905294"/>
    <w:rsid w:val="00905A4C"/>
    <w:rsid w:val="00905C4D"/>
    <w:rsid w:val="00905CE0"/>
    <w:rsid w:val="00905EA1"/>
    <w:rsid w:val="00906AE3"/>
    <w:rsid w:val="009078F8"/>
    <w:rsid w:val="00907E52"/>
    <w:rsid w:val="00910640"/>
    <w:rsid w:val="00910A46"/>
    <w:rsid w:val="00910B4F"/>
    <w:rsid w:val="00910F5D"/>
    <w:rsid w:val="00911324"/>
    <w:rsid w:val="00912094"/>
    <w:rsid w:val="00912185"/>
    <w:rsid w:val="00912301"/>
    <w:rsid w:val="00912C1F"/>
    <w:rsid w:val="00912E37"/>
    <w:rsid w:val="00913261"/>
    <w:rsid w:val="009132DC"/>
    <w:rsid w:val="00913E0E"/>
    <w:rsid w:val="009144F7"/>
    <w:rsid w:val="00915130"/>
    <w:rsid w:val="00915C55"/>
    <w:rsid w:val="00916403"/>
    <w:rsid w:val="0091720A"/>
    <w:rsid w:val="00917B83"/>
    <w:rsid w:val="00918CEA"/>
    <w:rsid w:val="00920011"/>
    <w:rsid w:val="00920BC8"/>
    <w:rsid w:val="00921A5B"/>
    <w:rsid w:val="00921AFC"/>
    <w:rsid w:val="00922BAE"/>
    <w:rsid w:val="00923689"/>
    <w:rsid w:val="009236E0"/>
    <w:rsid w:val="00923A98"/>
    <w:rsid w:val="00924053"/>
    <w:rsid w:val="00924BBB"/>
    <w:rsid w:val="009255CE"/>
    <w:rsid w:val="00925A88"/>
    <w:rsid w:val="00926262"/>
    <w:rsid w:val="009269FB"/>
    <w:rsid w:val="00926B43"/>
    <w:rsid w:val="00926C3E"/>
    <w:rsid w:val="00927716"/>
    <w:rsid w:val="00930CB2"/>
    <w:rsid w:val="00930E58"/>
    <w:rsid w:val="0093164C"/>
    <w:rsid w:val="00931CBD"/>
    <w:rsid w:val="00932A3A"/>
    <w:rsid w:val="00933441"/>
    <w:rsid w:val="0093356A"/>
    <w:rsid w:val="00933CDB"/>
    <w:rsid w:val="00933DA2"/>
    <w:rsid w:val="0093425A"/>
    <w:rsid w:val="009345B3"/>
    <w:rsid w:val="00934783"/>
    <w:rsid w:val="00935953"/>
    <w:rsid w:val="0093666C"/>
    <w:rsid w:val="009366FC"/>
    <w:rsid w:val="00936E2A"/>
    <w:rsid w:val="00936EF9"/>
    <w:rsid w:val="00936FC5"/>
    <w:rsid w:val="00937103"/>
    <w:rsid w:val="00937AD9"/>
    <w:rsid w:val="00937D69"/>
    <w:rsid w:val="00937E3E"/>
    <w:rsid w:val="00937E7A"/>
    <w:rsid w:val="0094006C"/>
    <w:rsid w:val="00940209"/>
    <w:rsid w:val="00940A18"/>
    <w:rsid w:val="00940B8C"/>
    <w:rsid w:val="00940F4E"/>
    <w:rsid w:val="00941048"/>
    <w:rsid w:val="009413FD"/>
    <w:rsid w:val="00941858"/>
    <w:rsid w:val="00941E8E"/>
    <w:rsid w:val="00942B44"/>
    <w:rsid w:val="00943222"/>
    <w:rsid w:val="00944387"/>
    <w:rsid w:val="009448FA"/>
    <w:rsid w:val="00944D9A"/>
    <w:rsid w:val="00944FCF"/>
    <w:rsid w:val="009450D7"/>
    <w:rsid w:val="00945367"/>
    <w:rsid w:val="009458C4"/>
    <w:rsid w:val="00945A1B"/>
    <w:rsid w:val="00945AD1"/>
    <w:rsid w:val="00945BB4"/>
    <w:rsid w:val="009470E7"/>
    <w:rsid w:val="009477AE"/>
    <w:rsid w:val="00947A7D"/>
    <w:rsid w:val="00947E89"/>
    <w:rsid w:val="00947E91"/>
    <w:rsid w:val="00951586"/>
    <w:rsid w:val="00951D9C"/>
    <w:rsid w:val="0095299D"/>
    <w:rsid w:val="009548C8"/>
    <w:rsid w:val="00954C4C"/>
    <w:rsid w:val="00954D77"/>
    <w:rsid w:val="0095501E"/>
    <w:rsid w:val="009554A9"/>
    <w:rsid w:val="009559ED"/>
    <w:rsid w:val="00955C16"/>
    <w:rsid w:val="0095653D"/>
    <w:rsid w:val="00956923"/>
    <w:rsid w:val="00956B26"/>
    <w:rsid w:val="00956FFA"/>
    <w:rsid w:val="009575F8"/>
    <w:rsid w:val="00960008"/>
    <w:rsid w:val="009601A4"/>
    <w:rsid w:val="009603A2"/>
    <w:rsid w:val="00960800"/>
    <w:rsid w:val="00960CFF"/>
    <w:rsid w:val="00960FCC"/>
    <w:rsid w:val="0096151C"/>
    <w:rsid w:val="00961BE6"/>
    <w:rsid w:val="00961D2D"/>
    <w:rsid w:val="009624EC"/>
    <w:rsid w:val="009624ED"/>
    <w:rsid w:val="009628E8"/>
    <w:rsid w:val="0096297C"/>
    <w:rsid w:val="00962DC1"/>
    <w:rsid w:val="009636BE"/>
    <w:rsid w:val="009638F3"/>
    <w:rsid w:val="00963AE7"/>
    <w:rsid w:val="00963DDE"/>
    <w:rsid w:val="00964037"/>
    <w:rsid w:val="00964D1E"/>
    <w:rsid w:val="009652F6"/>
    <w:rsid w:val="0096538D"/>
    <w:rsid w:val="00965571"/>
    <w:rsid w:val="00965964"/>
    <w:rsid w:val="00965B30"/>
    <w:rsid w:val="009660D7"/>
    <w:rsid w:val="009660E8"/>
    <w:rsid w:val="00966375"/>
    <w:rsid w:val="00966C04"/>
    <w:rsid w:val="00967CF4"/>
    <w:rsid w:val="009700AA"/>
    <w:rsid w:val="00970149"/>
    <w:rsid w:val="00970851"/>
    <w:rsid w:val="009708A7"/>
    <w:rsid w:val="00971079"/>
    <w:rsid w:val="00971727"/>
    <w:rsid w:val="00971AEE"/>
    <w:rsid w:val="00971CAD"/>
    <w:rsid w:val="00971E2F"/>
    <w:rsid w:val="0097336D"/>
    <w:rsid w:val="0097337B"/>
    <w:rsid w:val="00973823"/>
    <w:rsid w:val="00973B8B"/>
    <w:rsid w:val="0097437B"/>
    <w:rsid w:val="009745E3"/>
    <w:rsid w:val="009746DB"/>
    <w:rsid w:val="00974A77"/>
    <w:rsid w:val="0097537A"/>
    <w:rsid w:val="009757FB"/>
    <w:rsid w:val="00975D50"/>
    <w:rsid w:val="00976818"/>
    <w:rsid w:val="00976B1C"/>
    <w:rsid w:val="00976F76"/>
    <w:rsid w:val="00977004"/>
    <w:rsid w:val="009771B2"/>
    <w:rsid w:val="009773E0"/>
    <w:rsid w:val="0098004B"/>
    <w:rsid w:val="0098015C"/>
    <w:rsid w:val="00980930"/>
    <w:rsid w:val="00980FC7"/>
    <w:rsid w:val="00981614"/>
    <w:rsid w:val="009816A3"/>
    <w:rsid w:val="009819A3"/>
    <w:rsid w:val="00981CD4"/>
    <w:rsid w:val="00983004"/>
    <w:rsid w:val="00983560"/>
    <w:rsid w:val="009838BE"/>
    <w:rsid w:val="00983B36"/>
    <w:rsid w:val="009843DB"/>
    <w:rsid w:val="0098538D"/>
    <w:rsid w:val="00985840"/>
    <w:rsid w:val="009858D0"/>
    <w:rsid w:val="00985D6C"/>
    <w:rsid w:val="0098647D"/>
    <w:rsid w:val="009864C6"/>
    <w:rsid w:val="00986ECE"/>
    <w:rsid w:val="0098708B"/>
    <w:rsid w:val="00987848"/>
    <w:rsid w:val="009879E0"/>
    <w:rsid w:val="0099052C"/>
    <w:rsid w:val="009905DB"/>
    <w:rsid w:val="0099060D"/>
    <w:rsid w:val="009906E2"/>
    <w:rsid w:val="00991777"/>
    <w:rsid w:val="0099241B"/>
    <w:rsid w:val="00992A46"/>
    <w:rsid w:val="00992C11"/>
    <w:rsid w:val="00992F88"/>
    <w:rsid w:val="0099375E"/>
    <w:rsid w:val="00994634"/>
    <w:rsid w:val="00995358"/>
    <w:rsid w:val="009954B4"/>
    <w:rsid w:val="009956A1"/>
    <w:rsid w:val="00995AF7"/>
    <w:rsid w:val="009964C5"/>
    <w:rsid w:val="009968EF"/>
    <w:rsid w:val="0099715F"/>
    <w:rsid w:val="00997541"/>
    <w:rsid w:val="00997CBE"/>
    <w:rsid w:val="009A0921"/>
    <w:rsid w:val="009A097E"/>
    <w:rsid w:val="009A0E21"/>
    <w:rsid w:val="009A1922"/>
    <w:rsid w:val="009A1DEE"/>
    <w:rsid w:val="009A21CF"/>
    <w:rsid w:val="009A28BA"/>
    <w:rsid w:val="009A31F4"/>
    <w:rsid w:val="009A3428"/>
    <w:rsid w:val="009A4297"/>
    <w:rsid w:val="009A43D8"/>
    <w:rsid w:val="009A4866"/>
    <w:rsid w:val="009A50E0"/>
    <w:rsid w:val="009A5222"/>
    <w:rsid w:val="009A5DC7"/>
    <w:rsid w:val="009A657C"/>
    <w:rsid w:val="009A6CC8"/>
    <w:rsid w:val="009A6F67"/>
    <w:rsid w:val="009A736F"/>
    <w:rsid w:val="009A7BBF"/>
    <w:rsid w:val="009B0078"/>
    <w:rsid w:val="009B01EF"/>
    <w:rsid w:val="009B0354"/>
    <w:rsid w:val="009B058E"/>
    <w:rsid w:val="009B160D"/>
    <w:rsid w:val="009B1E49"/>
    <w:rsid w:val="009B1E67"/>
    <w:rsid w:val="009B226A"/>
    <w:rsid w:val="009B35FE"/>
    <w:rsid w:val="009B3ABA"/>
    <w:rsid w:val="009B40FB"/>
    <w:rsid w:val="009B458F"/>
    <w:rsid w:val="009B4DCA"/>
    <w:rsid w:val="009B5034"/>
    <w:rsid w:val="009B50D6"/>
    <w:rsid w:val="009B59AD"/>
    <w:rsid w:val="009B5C05"/>
    <w:rsid w:val="009B63AC"/>
    <w:rsid w:val="009B6595"/>
    <w:rsid w:val="009B7E8F"/>
    <w:rsid w:val="009C06D6"/>
    <w:rsid w:val="009C097A"/>
    <w:rsid w:val="009C0ED9"/>
    <w:rsid w:val="009C0FC5"/>
    <w:rsid w:val="009C1271"/>
    <w:rsid w:val="009C1572"/>
    <w:rsid w:val="009C166A"/>
    <w:rsid w:val="009C1F6B"/>
    <w:rsid w:val="009C201C"/>
    <w:rsid w:val="009C25F8"/>
    <w:rsid w:val="009C366A"/>
    <w:rsid w:val="009C38FA"/>
    <w:rsid w:val="009C3D8C"/>
    <w:rsid w:val="009C4560"/>
    <w:rsid w:val="009C567A"/>
    <w:rsid w:val="009C57CF"/>
    <w:rsid w:val="009C75B3"/>
    <w:rsid w:val="009D01D3"/>
    <w:rsid w:val="009D0527"/>
    <w:rsid w:val="009D0C21"/>
    <w:rsid w:val="009D1590"/>
    <w:rsid w:val="009D2132"/>
    <w:rsid w:val="009D23F3"/>
    <w:rsid w:val="009D2468"/>
    <w:rsid w:val="009D2F83"/>
    <w:rsid w:val="009D39B1"/>
    <w:rsid w:val="009D41F7"/>
    <w:rsid w:val="009D4FC4"/>
    <w:rsid w:val="009D560C"/>
    <w:rsid w:val="009D5B9C"/>
    <w:rsid w:val="009D626D"/>
    <w:rsid w:val="009D6D81"/>
    <w:rsid w:val="009D6DF8"/>
    <w:rsid w:val="009D6F76"/>
    <w:rsid w:val="009D71AF"/>
    <w:rsid w:val="009D746B"/>
    <w:rsid w:val="009D77DB"/>
    <w:rsid w:val="009D7807"/>
    <w:rsid w:val="009D793A"/>
    <w:rsid w:val="009E0203"/>
    <w:rsid w:val="009E0654"/>
    <w:rsid w:val="009E065F"/>
    <w:rsid w:val="009E07CA"/>
    <w:rsid w:val="009E0F69"/>
    <w:rsid w:val="009E193E"/>
    <w:rsid w:val="009E1AB6"/>
    <w:rsid w:val="009E1BBA"/>
    <w:rsid w:val="009E2086"/>
    <w:rsid w:val="009E2784"/>
    <w:rsid w:val="009E42AD"/>
    <w:rsid w:val="009E4BF2"/>
    <w:rsid w:val="009E510A"/>
    <w:rsid w:val="009E58C1"/>
    <w:rsid w:val="009E6071"/>
    <w:rsid w:val="009E66D9"/>
    <w:rsid w:val="009E6FED"/>
    <w:rsid w:val="009E7444"/>
    <w:rsid w:val="009E770C"/>
    <w:rsid w:val="009F0050"/>
    <w:rsid w:val="009F0328"/>
    <w:rsid w:val="009F0510"/>
    <w:rsid w:val="009F0530"/>
    <w:rsid w:val="009F057B"/>
    <w:rsid w:val="009F0645"/>
    <w:rsid w:val="009F0B5D"/>
    <w:rsid w:val="009F11C4"/>
    <w:rsid w:val="009F12C5"/>
    <w:rsid w:val="009F1B67"/>
    <w:rsid w:val="009F1EE8"/>
    <w:rsid w:val="009F2286"/>
    <w:rsid w:val="009F2373"/>
    <w:rsid w:val="009F2D54"/>
    <w:rsid w:val="009F2D77"/>
    <w:rsid w:val="009F431C"/>
    <w:rsid w:val="009F490B"/>
    <w:rsid w:val="009F4A5D"/>
    <w:rsid w:val="009F4E37"/>
    <w:rsid w:val="009F5502"/>
    <w:rsid w:val="009F5825"/>
    <w:rsid w:val="009F5EAE"/>
    <w:rsid w:val="009F6A6F"/>
    <w:rsid w:val="009F72C4"/>
    <w:rsid w:val="009F739A"/>
    <w:rsid w:val="009F7B7A"/>
    <w:rsid w:val="009F7FC2"/>
    <w:rsid w:val="00A0069D"/>
    <w:rsid w:val="00A00A7D"/>
    <w:rsid w:val="00A00C62"/>
    <w:rsid w:val="00A00EF7"/>
    <w:rsid w:val="00A010B4"/>
    <w:rsid w:val="00A01984"/>
    <w:rsid w:val="00A01DF3"/>
    <w:rsid w:val="00A01FC8"/>
    <w:rsid w:val="00A020CA"/>
    <w:rsid w:val="00A021E2"/>
    <w:rsid w:val="00A0229E"/>
    <w:rsid w:val="00A02757"/>
    <w:rsid w:val="00A0275B"/>
    <w:rsid w:val="00A02861"/>
    <w:rsid w:val="00A02A6F"/>
    <w:rsid w:val="00A02F28"/>
    <w:rsid w:val="00A037CC"/>
    <w:rsid w:val="00A044BE"/>
    <w:rsid w:val="00A04516"/>
    <w:rsid w:val="00A04A25"/>
    <w:rsid w:val="00A04CAB"/>
    <w:rsid w:val="00A05AAA"/>
    <w:rsid w:val="00A06334"/>
    <w:rsid w:val="00A06D03"/>
    <w:rsid w:val="00A074F1"/>
    <w:rsid w:val="00A075D7"/>
    <w:rsid w:val="00A07A76"/>
    <w:rsid w:val="00A10198"/>
    <w:rsid w:val="00A101A8"/>
    <w:rsid w:val="00A10E51"/>
    <w:rsid w:val="00A111DB"/>
    <w:rsid w:val="00A113A9"/>
    <w:rsid w:val="00A124DA"/>
    <w:rsid w:val="00A12626"/>
    <w:rsid w:val="00A132A3"/>
    <w:rsid w:val="00A1374B"/>
    <w:rsid w:val="00A1374D"/>
    <w:rsid w:val="00A13943"/>
    <w:rsid w:val="00A1485F"/>
    <w:rsid w:val="00A1492F"/>
    <w:rsid w:val="00A1503A"/>
    <w:rsid w:val="00A153FB"/>
    <w:rsid w:val="00A1652D"/>
    <w:rsid w:val="00A17189"/>
    <w:rsid w:val="00A17590"/>
    <w:rsid w:val="00A211C3"/>
    <w:rsid w:val="00A216CC"/>
    <w:rsid w:val="00A21D60"/>
    <w:rsid w:val="00A21D79"/>
    <w:rsid w:val="00A2210F"/>
    <w:rsid w:val="00A22AC5"/>
    <w:rsid w:val="00A22B67"/>
    <w:rsid w:val="00A24D07"/>
    <w:rsid w:val="00A24DEC"/>
    <w:rsid w:val="00A24FFE"/>
    <w:rsid w:val="00A250EC"/>
    <w:rsid w:val="00A25157"/>
    <w:rsid w:val="00A2534E"/>
    <w:rsid w:val="00A2591E"/>
    <w:rsid w:val="00A259D2"/>
    <w:rsid w:val="00A25C25"/>
    <w:rsid w:val="00A2617E"/>
    <w:rsid w:val="00A266D5"/>
    <w:rsid w:val="00A26B23"/>
    <w:rsid w:val="00A27677"/>
    <w:rsid w:val="00A27A9D"/>
    <w:rsid w:val="00A3002C"/>
    <w:rsid w:val="00A310DD"/>
    <w:rsid w:val="00A31A12"/>
    <w:rsid w:val="00A31E78"/>
    <w:rsid w:val="00A3280D"/>
    <w:rsid w:val="00A3307E"/>
    <w:rsid w:val="00A337C6"/>
    <w:rsid w:val="00A34046"/>
    <w:rsid w:val="00A341F0"/>
    <w:rsid w:val="00A3498D"/>
    <w:rsid w:val="00A34E84"/>
    <w:rsid w:val="00A35053"/>
    <w:rsid w:val="00A352FC"/>
    <w:rsid w:val="00A35A2F"/>
    <w:rsid w:val="00A35AA1"/>
    <w:rsid w:val="00A367D7"/>
    <w:rsid w:val="00A36BA3"/>
    <w:rsid w:val="00A3754D"/>
    <w:rsid w:val="00A378E3"/>
    <w:rsid w:val="00A4020A"/>
    <w:rsid w:val="00A406B5"/>
    <w:rsid w:val="00A40CE9"/>
    <w:rsid w:val="00A40DBA"/>
    <w:rsid w:val="00A40DDE"/>
    <w:rsid w:val="00A416C6"/>
    <w:rsid w:val="00A4239D"/>
    <w:rsid w:val="00A4266F"/>
    <w:rsid w:val="00A439AD"/>
    <w:rsid w:val="00A456E4"/>
    <w:rsid w:val="00A45D31"/>
    <w:rsid w:val="00A4624A"/>
    <w:rsid w:val="00A46325"/>
    <w:rsid w:val="00A467CA"/>
    <w:rsid w:val="00A467DF"/>
    <w:rsid w:val="00A469F2"/>
    <w:rsid w:val="00A471A6"/>
    <w:rsid w:val="00A47581"/>
    <w:rsid w:val="00A47762"/>
    <w:rsid w:val="00A51444"/>
    <w:rsid w:val="00A51714"/>
    <w:rsid w:val="00A526AF"/>
    <w:rsid w:val="00A545C5"/>
    <w:rsid w:val="00A54AFF"/>
    <w:rsid w:val="00A55248"/>
    <w:rsid w:val="00A557E5"/>
    <w:rsid w:val="00A55CDE"/>
    <w:rsid w:val="00A55DDA"/>
    <w:rsid w:val="00A5604E"/>
    <w:rsid w:val="00A56360"/>
    <w:rsid w:val="00A56DF6"/>
    <w:rsid w:val="00A56E5A"/>
    <w:rsid w:val="00A56E90"/>
    <w:rsid w:val="00A56EF6"/>
    <w:rsid w:val="00A5709E"/>
    <w:rsid w:val="00A571BE"/>
    <w:rsid w:val="00A57311"/>
    <w:rsid w:val="00A576FB"/>
    <w:rsid w:val="00A57C0E"/>
    <w:rsid w:val="00A57C13"/>
    <w:rsid w:val="00A57C38"/>
    <w:rsid w:val="00A60034"/>
    <w:rsid w:val="00A60B1C"/>
    <w:rsid w:val="00A62188"/>
    <w:rsid w:val="00A6253D"/>
    <w:rsid w:val="00A628EE"/>
    <w:rsid w:val="00A62AC2"/>
    <w:rsid w:val="00A6320F"/>
    <w:rsid w:val="00A63C99"/>
    <w:rsid w:val="00A643A3"/>
    <w:rsid w:val="00A644D2"/>
    <w:rsid w:val="00A64857"/>
    <w:rsid w:val="00A64C8E"/>
    <w:rsid w:val="00A64CCE"/>
    <w:rsid w:val="00A65182"/>
    <w:rsid w:val="00A6550A"/>
    <w:rsid w:val="00A65B6B"/>
    <w:rsid w:val="00A66A7F"/>
    <w:rsid w:val="00A66EC8"/>
    <w:rsid w:val="00A677A1"/>
    <w:rsid w:val="00A67A96"/>
    <w:rsid w:val="00A7040D"/>
    <w:rsid w:val="00A70494"/>
    <w:rsid w:val="00A704E3"/>
    <w:rsid w:val="00A70606"/>
    <w:rsid w:val="00A7061E"/>
    <w:rsid w:val="00A70BD9"/>
    <w:rsid w:val="00A71613"/>
    <w:rsid w:val="00A71AEF"/>
    <w:rsid w:val="00A71FF4"/>
    <w:rsid w:val="00A723AF"/>
    <w:rsid w:val="00A726E7"/>
    <w:rsid w:val="00A727FC"/>
    <w:rsid w:val="00A7359F"/>
    <w:rsid w:val="00A7409B"/>
    <w:rsid w:val="00A742C8"/>
    <w:rsid w:val="00A743F2"/>
    <w:rsid w:val="00A74772"/>
    <w:rsid w:val="00A74C35"/>
    <w:rsid w:val="00A74DCF"/>
    <w:rsid w:val="00A74F90"/>
    <w:rsid w:val="00A752BE"/>
    <w:rsid w:val="00A768AA"/>
    <w:rsid w:val="00A7750E"/>
    <w:rsid w:val="00A7797F"/>
    <w:rsid w:val="00A77A8A"/>
    <w:rsid w:val="00A8044E"/>
    <w:rsid w:val="00A808FF"/>
    <w:rsid w:val="00A80B5B"/>
    <w:rsid w:val="00A810A5"/>
    <w:rsid w:val="00A8128C"/>
    <w:rsid w:val="00A81B73"/>
    <w:rsid w:val="00A82A22"/>
    <w:rsid w:val="00A83F48"/>
    <w:rsid w:val="00A8423D"/>
    <w:rsid w:val="00A844A8"/>
    <w:rsid w:val="00A845CC"/>
    <w:rsid w:val="00A84805"/>
    <w:rsid w:val="00A84958"/>
    <w:rsid w:val="00A84BD7"/>
    <w:rsid w:val="00A86257"/>
    <w:rsid w:val="00A863D9"/>
    <w:rsid w:val="00A87134"/>
    <w:rsid w:val="00A8734E"/>
    <w:rsid w:val="00A878A3"/>
    <w:rsid w:val="00A87B37"/>
    <w:rsid w:val="00A87BD0"/>
    <w:rsid w:val="00A9013F"/>
    <w:rsid w:val="00A90409"/>
    <w:rsid w:val="00A906D4"/>
    <w:rsid w:val="00A9091B"/>
    <w:rsid w:val="00A90BFA"/>
    <w:rsid w:val="00A916C3"/>
    <w:rsid w:val="00A91C8F"/>
    <w:rsid w:val="00A92961"/>
    <w:rsid w:val="00A92D14"/>
    <w:rsid w:val="00A934B0"/>
    <w:rsid w:val="00A93647"/>
    <w:rsid w:val="00A93A60"/>
    <w:rsid w:val="00A93A8C"/>
    <w:rsid w:val="00A94407"/>
    <w:rsid w:val="00A9450D"/>
    <w:rsid w:val="00A946C1"/>
    <w:rsid w:val="00A9508D"/>
    <w:rsid w:val="00A9537F"/>
    <w:rsid w:val="00A95504"/>
    <w:rsid w:val="00A967E3"/>
    <w:rsid w:val="00AA01E7"/>
    <w:rsid w:val="00AA1359"/>
    <w:rsid w:val="00AA13BD"/>
    <w:rsid w:val="00AA2FA2"/>
    <w:rsid w:val="00AA35AC"/>
    <w:rsid w:val="00AA3B8A"/>
    <w:rsid w:val="00AA3DAA"/>
    <w:rsid w:val="00AA4747"/>
    <w:rsid w:val="00AA4756"/>
    <w:rsid w:val="00AA47F1"/>
    <w:rsid w:val="00AA4931"/>
    <w:rsid w:val="00AA497D"/>
    <w:rsid w:val="00AA4E7C"/>
    <w:rsid w:val="00AA5122"/>
    <w:rsid w:val="00AA5227"/>
    <w:rsid w:val="00AA714E"/>
    <w:rsid w:val="00AA72D7"/>
    <w:rsid w:val="00AA745D"/>
    <w:rsid w:val="00AB0059"/>
    <w:rsid w:val="00AB02B1"/>
    <w:rsid w:val="00AB0977"/>
    <w:rsid w:val="00AB1663"/>
    <w:rsid w:val="00AB177C"/>
    <w:rsid w:val="00AB1BF1"/>
    <w:rsid w:val="00AB2B4C"/>
    <w:rsid w:val="00AB30EA"/>
    <w:rsid w:val="00AB3B3B"/>
    <w:rsid w:val="00AB400B"/>
    <w:rsid w:val="00AB40F5"/>
    <w:rsid w:val="00AB421D"/>
    <w:rsid w:val="00AB4C80"/>
    <w:rsid w:val="00AB500B"/>
    <w:rsid w:val="00AB50EC"/>
    <w:rsid w:val="00AB5231"/>
    <w:rsid w:val="00AB5DC8"/>
    <w:rsid w:val="00AB5E00"/>
    <w:rsid w:val="00AB62A0"/>
    <w:rsid w:val="00AB773E"/>
    <w:rsid w:val="00AB77AD"/>
    <w:rsid w:val="00AB7C42"/>
    <w:rsid w:val="00AC0192"/>
    <w:rsid w:val="00AC04ED"/>
    <w:rsid w:val="00AC21D4"/>
    <w:rsid w:val="00AC24AB"/>
    <w:rsid w:val="00AC4823"/>
    <w:rsid w:val="00AC5098"/>
    <w:rsid w:val="00AC6905"/>
    <w:rsid w:val="00AC71B8"/>
    <w:rsid w:val="00AC71D6"/>
    <w:rsid w:val="00AC739B"/>
    <w:rsid w:val="00AD0884"/>
    <w:rsid w:val="00AD099E"/>
    <w:rsid w:val="00AD1711"/>
    <w:rsid w:val="00AD18DC"/>
    <w:rsid w:val="00AD1C43"/>
    <w:rsid w:val="00AD1DC4"/>
    <w:rsid w:val="00AD1FF3"/>
    <w:rsid w:val="00AD2048"/>
    <w:rsid w:val="00AD2A87"/>
    <w:rsid w:val="00AD2AB0"/>
    <w:rsid w:val="00AD2DC4"/>
    <w:rsid w:val="00AD2EC3"/>
    <w:rsid w:val="00AD3391"/>
    <w:rsid w:val="00AD3406"/>
    <w:rsid w:val="00AD35BC"/>
    <w:rsid w:val="00AD3A3F"/>
    <w:rsid w:val="00AD5051"/>
    <w:rsid w:val="00AD5117"/>
    <w:rsid w:val="00AD5137"/>
    <w:rsid w:val="00AD53A4"/>
    <w:rsid w:val="00AD5CBB"/>
    <w:rsid w:val="00AD5F2D"/>
    <w:rsid w:val="00AD70DD"/>
    <w:rsid w:val="00AD7532"/>
    <w:rsid w:val="00AD7714"/>
    <w:rsid w:val="00AD77E1"/>
    <w:rsid w:val="00AD7C7A"/>
    <w:rsid w:val="00AE029D"/>
    <w:rsid w:val="00AE02AA"/>
    <w:rsid w:val="00AE0440"/>
    <w:rsid w:val="00AE0560"/>
    <w:rsid w:val="00AE0614"/>
    <w:rsid w:val="00AE0BE7"/>
    <w:rsid w:val="00AE13CA"/>
    <w:rsid w:val="00AE1E20"/>
    <w:rsid w:val="00AE22B6"/>
    <w:rsid w:val="00AE2527"/>
    <w:rsid w:val="00AE2581"/>
    <w:rsid w:val="00AE2C30"/>
    <w:rsid w:val="00AE3492"/>
    <w:rsid w:val="00AE38A0"/>
    <w:rsid w:val="00AE3EE4"/>
    <w:rsid w:val="00AE3F5F"/>
    <w:rsid w:val="00AE453B"/>
    <w:rsid w:val="00AE4C17"/>
    <w:rsid w:val="00AE4F97"/>
    <w:rsid w:val="00AE57CC"/>
    <w:rsid w:val="00AE5B45"/>
    <w:rsid w:val="00AE6C46"/>
    <w:rsid w:val="00AE6C92"/>
    <w:rsid w:val="00AE6D75"/>
    <w:rsid w:val="00AE7303"/>
    <w:rsid w:val="00AE745F"/>
    <w:rsid w:val="00AE7877"/>
    <w:rsid w:val="00AF00AA"/>
    <w:rsid w:val="00AF10C9"/>
    <w:rsid w:val="00AF10F9"/>
    <w:rsid w:val="00AF136D"/>
    <w:rsid w:val="00AF2570"/>
    <w:rsid w:val="00AF2A47"/>
    <w:rsid w:val="00AF2E98"/>
    <w:rsid w:val="00AF3411"/>
    <w:rsid w:val="00AF34C2"/>
    <w:rsid w:val="00AF3B8B"/>
    <w:rsid w:val="00AF3E16"/>
    <w:rsid w:val="00AF3E53"/>
    <w:rsid w:val="00AF427D"/>
    <w:rsid w:val="00AF4CB2"/>
    <w:rsid w:val="00AF4D17"/>
    <w:rsid w:val="00AF506B"/>
    <w:rsid w:val="00AF5906"/>
    <w:rsid w:val="00AF5C8E"/>
    <w:rsid w:val="00AF61DD"/>
    <w:rsid w:val="00AF6999"/>
    <w:rsid w:val="00AF6C36"/>
    <w:rsid w:val="00AF6F2D"/>
    <w:rsid w:val="00AF735E"/>
    <w:rsid w:val="00AF753B"/>
    <w:rsid w:val="00B00141"/>
    <w:rsid w:val="00B0014A"/>
    <w:rsid w:val="00B004F2"/>
    <w:rsid w:val="00B00660"/>
    <w:rsid w:val="00B00CEF"/>
    <w:rsid w:val="00B00D48"/>
    <w:rsid w:val="00B01B98"/>
    <w:rsid w:val="00B0243D"/>
    <w:rsid w:val="00B02F97"/>
    <w:rsid w:val="00B032F0"/>
    <w:rsid w:val="00B03837"/>
    <w:rsid w:val="00B0394A"/>
    <w:rsid w:val="00B0394E"/>
    <w:rsid w:val="00B03A31"/>
    <w:rsid w:val="00B0409D"/>
    <w:rsid w:val="00B0498C"/>
    <w:rsid w:val="00B04A3A"/>
    <w:rsid w:val="00B0510E"/>
    <w:rsid w:val="00B053C2"/>
    <w:rsid w:val="00B06C0D"/>
    <w:rsid w:val="00B06E90"/>
    <w:rsid w:val="00B071AE"/>
    <w:rsid w:val="00B078CE"/>
    <w:rsid w:val="00B07D69"/>
    <w:rsid w:val="00B1034B"/>
    <w:rsid w:val="00B103DC"/>
    <w:rsid w:val="00B10593"/>
    <w:rsid w:val="00B1078D"/>
    <w:rsid w:val="00B10C0B"/>
    <w:rsid w:val="00B121E5"/>
    <w:rsid w:val="00B123F0"/>
    <w:rsid w:val="00B127A5"/>
    <w:rsid w:val="00B1285D"/>
    <w:rsid w:val="00B137B1"/>
    <w:rsid w:val="00B14230"/>
    <w:rsid w:val="00B14437"/>
    <w:rsid w:val="00B147C3"/>
    <w:rsid w:val="00B16386"/>
    <w:rsid w:val="00B1739C"/>
    <w:rsid w:val="00B17AFA"/>
    <w:rsid w:val="00B17BC0"/>
    <w:rsid w:val="00B17E11"/>
    <w:rsid w:val="00B21CDD"/>
    <w:rsid w:val="00B2200F"/>
    <w:rsid w:val="00B228EA"/>
    <w:rsid w:val="00B229C1"/>
    <w:rsid w:val="00B22C01"/>
    <w:rsid w:val="00B2382C"/>
    <w:rsid w:val="00B2403B"/>
    <w:rsid w:val="00B24219"/>
    <w:rsid w:val="00B24B4F"/>
    <w:rsid w:val="00B25368"/>
    <w:rsid w:val="00B25522"/>
    <w:rsid w:val="00B255BF"/>
    <w:rsid w:val="00B259AA"/>
    <w:rsid w:val="00B25ACA"/>
    <w:rsid w:val="00B25E16"/>
    <w:rsid w:val="00B261E6"/>
    <w:rsid w:val="00B2676E"/>
    <w:rsid w:val="00B26BE7"/>
    <w:rsid w:val="00B26D27"/>
    <w:rsid w:val="00B27138"/>
    <w:rsid w:val="00B27D42"/>
    <w:rsid w:val="00B30C34"/>
    <w:rsid w:val="00B323E8"/>
    <w:rsid w:val="00B32BE5"/>
    <w:rsid w:val="00B3344E"/>
    <w:rsid w:val="00B336B8"/>
    <w:rsid w:val="00B339AA"/>
    <w:rsid w:val="00B33FEE"/>
    <w:rsid w:val="00B34F2A"/>
    <w:rsid w:val="00B355B5"/>
    <w:rsid w:val="00B35C9D"/>
    <w:rsid w:val="00B36340"/>
    <w:rsid w:val="00B36A50"/>
    <w:rsid w:val="00B36D69"/>
    <w:rsid w:val="00B373B2"/>
    <w:rsid w:val="00B373B4"/>
    <w:rsid w:val="00B37805"/>
    <w:rsid w:val="00B37E5A"/>
    <w:rsid w:val="00B40946"/>
    <w:rsid w:val="00B40A14"/>
    <w:rsid w:val="00B40C38"/>
    <w:rsid w:val="00B40FBA"/>
    <w:rsid w:val="00B4167F"/>
    <w:rsid w:val="00B427BF"/>
    <w:rsid w:val="00B428AF"/>
    <w:rsid w:val="00B42AA8"/>
    <w:rsid w:val="00B430D6"/>
    <w:rsid w:val="00B43645"/>
    <w:rsid w:val="00B437DC"/>
    <w:rsid w:val="00B442CF"/>
    <w:rsid w:val="00B446CA"/>
    <w:rsid w:val="00B446D5"/>
    <w:rsid w:val="00B44E53"/>
    <w:rsid w:val="00B45AA0"/>
    <w:rsid w:val="00B45C86"/>
    <w:rsid w:val="00B45C8F"/>
    <w:rsid w:val="00B464B0"/>
    <w:rsid w:val="00B464E1"/>
    <w:rsid w:val="00B468C9"/>
    <w:rsid w:val="00B473F6"/>
    <w:rsid w:val="00B51F8F"/>
    <w:rsid w:val="00B52186"/>
    <w:rsid w:val="00B523EA"/>
    <w:rsid w:val="00B53682"/>
    <w:rsid w:val="00B53A3F"/>
    <w:rsid w:val="00B53D2A"/>
    <w:rsid w:val="00B549BB"/>
    <w:rsid w:val="00B559E9"/>
    <w:rsid w:val="00B563C1"/>
    <w:rsid w:val="00B56C93"/>
    <w:rsid w:val="00B5761C"/>
    <w:rsid w:val="00B57F63"/>
    <w:rsid w:val="00B60601"/>
    <w:rsid w:val="00B60904"/>
    <w:rsid w:val="00B60F40"/>
    <w:rsid w:val="00B616C4"/>
    <w:rsid w:val="00B61B63"/>
    <w:rsid w:val="00B61BAD"/>
    <w:rsid w:val="00B61D1F"/>
    <w:rsid w:val="00B63795"/>
    <w:rsid w:val="00B638A2"/>
    <w:rsid w:val="00B639EF"/>
    <w:rsid w:val="00B63A3E"/>
    <w:rsid w:val="00B63CA0"/>
    <w:rsid w:val="00B642A7"/>
    <w:rsid w:val="00B6465B"/>
    <w:rsid w:val="00B64C06"/>
    <w:rsid w:val="00B65E04"/>
    <w:rsid w:val="00B669FF"/>
    <w:rsid w:val="00B66D26"/>
    <w:rsid w:val="00B67CDF"/>
    <w:rsid w:val="00B7054D"/>
    <w:rsid w:val="00B7079E"/>
    <w:rsid w:val="00B70E3D"/>
    <w:rsid w:val="00B71A23"/>
    <w:rsid w:val="00B725A9"/>
    <w:rsid w:val="00B72ABA"/>
    <w:rsid w:val="00B72B65"/>
    <w:rsid w:val="00B72D4E"/>
    <w:rsid w:val="00B73C87"/>
    <w:rsid w:val="00B73F6B"/>
    <w:rsid w:val="00B73F77"/>
    <w:rsid w:val="00B741E2"/>
    <w:rsid w:val="00B74595"/>
    <w:rsid w:val="00B7474D"/>
    <w:rsid w:val="00B7484F"/>
    <w:rsid w:val="00B749D5"/>
    <w:rsid w:val="00B74A8B"/>
    <w:rsid w:val="00B74CE6"/>
    <w:rsid w:val="00B7500C"/>
    <w:rsid w:val="00B75829"/>
    <w:rsid w:val="00B76257"/>
    <w:rsid w:val="00B76442"/>
    <w:rsid w:val="00B765FA"/>
    <w:rsid w:val="00B76B91"/>
    <w:rsid w:val="00B77F06"/>
    <w:rsid w:val="00B8097C"/>
    <w:rsid w:val="00B8098D"/>
    <w:rsid w:val="00B810DB"/>
    <w:rsid w:val="00B813BD"/>
    <w:rsid w:val="00B81CF3"/>
    <w:rsid w:val="00B8257E"/>
    <w:rsid w:val="00B8283C"/>
    <w:rsid w:val="00B82A5C"/>
    <w:rsid w:val="00B82ECA"/>
    <w:rsid w:val="00B8316F"/>
    <w:rsid w:val="00B832CB"/>
    <w:rsid w:val="00B834B2"/>
    <w:rsid w:val="00B83847"/>
    <w:rsid w:val="00B83AE1"/>
    <w:rsid w:val="00B83C32"/>
    <w:rsid w:val="00B84050"/>
    <w:rsid w:val="00B842F2"/>
    <w:rsid w:val="00B84622"/>
    <w:rsid w:val="00B84CEF"/>
    <w:rsid w:val="00B84E1F"/>
    <w:rsid w:val="00B852E5"/>
    <w:rsid w:val="00B852FC"/>
    <w:rsid w:val="00B85389"/>
    <w:rsid w:val="00B8591E"/>
    <w:rsid w:val="00B85A34"/>
    <w:rsid w:val="00B85BD7"/>
    <w:rsid w:val="00B85E1B"/>
    <w:rsid w:val="00B86232"/>
    <w:rsid w:val="00B862AD"/>
    <w:rsid w:val="00B862E4"/>
    <w:rsid w:val="00B871A0"/>
    <w:rsid w:val="00B87287"/>
    <w:rsid w:val="00B8732F"/>
    <w:rsid w:val="00B87860"/>
    <w:rsid w:val="00B87DF2"/>
    <w:rsid w:val="00B90264"/>
    <w:rsid w:val="00B9043B"/>
    <w:rsid w:val="00B90451"/>
    <w:rsid w:val="00B90F1E"/>
    <w:rsid w:val="00B9103F"/>
    <w:rsid w:val="00B9123E"/>
    <w:rsid w:val="00B9206B"/>
    <w:rsid w:val="00B92242"/>
    <w:rsid w:val="00B92B99"/>
    <w:rsid w:val="00B92F38"/>
    <w:rsid w:val="00B93B1B"/>
    <w:rsid w:val="00B93B1C"/>
    <w:rsid w:val="00B93B82"/>
    <w:rsid w:val="00B9400A"/>
    <w:rsid w:val="00B94034"/>
    <w:rsid w:val="00B94169"/>
    <w:rsid w:val="00B9425A"/>
    <w:rsid w:val="00B94327"/>
    <w:rsid w:val="00B948A2"/>
    <w:rsid w:val="00B948C9"/>
    <w:rsid w:val="00B94972"/>
    <w:rsid w:val="00B949E6"/>
    <w:rsid w:val="00B9564A"/>
    <w:rsid w:val="00B9572B"/>
    <w:rsid w:val="00B95AB0"/>
    <w:rsid w:val="00B962EB"/>
    <w:rsid w:val="00B9667B"/>
    <w:rsid w:val="00B9676C"/>
    <w:rsid w:val="00BA1205"/>
    <w:rsid w:val="00BA1546"/>
    <w:rsid w:val="00BA1BC2"/>
    <w:rsid w:val="00BA2158"/>
    <w:rsid w:val="00BA2BBE"/>
    <w:rsid w:val="00BA2C18"/>
    <w:rsid w:val="00BA2EB9"/>
    <w:rsid w:val="00BA33FE"/>
    <w:rsid w:val="00BA3481"/>
    <w:rsid w:val="00BA37F3"/>
    <w:rsid w:val="00BA3D6E"/>
    <w:rsid w:val="00BA3F1B"/>
    <w:rsid w:val="00BA4474"/>
    <w:rsid w:val="00BA4B63"/>
    <w:rsid w:val="00BA56FA"/>
    <w:rsid w:val="00BA5823"/>
    <w:rsid w:val="00BA5F33"/>
    <w:rsid w:val="00BA679E"/>
    <w:rsid w:val="00BA6E37"/>
    <w:rsid w:val="00BA75D6"/>
    <w:rsid w:val="00BA77F1"/>
    <w:rsid w:val="00BA7A40"/>
    <w:rsid w:val="00BA7F18"/>
    <w:rsid w:val="00BB029D"/>
    <w:rsid w:val="00BB05D8"/>
    <w:rsid w:val="00BB05EA"/>
    <w:rsid w:val="00BB0867"/>
    <w:rsid w:val="00BB0D52"/>
    <w:rsid w:val="00BB17A6"/>
    <w:rsid w:val="00BB2C47"/>
    <w:rsid w:val="00BB3144"/>
    <w:rsid w:val="00BB31D5"/>
    <w:rsid w:val="00BB394B"/>
    <w:rsid w:val="00BB443E"/>
    <w:rsid w:val="00BB4604"/>
    <w:rsid w:val="00BB49AC"/>
    <w:rsid w:val="00BB4D6D"/>
    <w:rsid w:val="00BB4EC3"/>
    <w:rsid w:val="00BB4F18"/>
    <w:rsid w:val="00BB51D7"/>
    <w:rsid w:val="00BB5C3C"/>
    <w:rsid w:val="00BB5F76"/>
    <w:rsid w:val="00BB74AE"/>
    <w:rsid w:val="00BB75A0"/>
    <w:rsid w:val="00BB75B6"/>
    <w:rsid w:val="00BB7A82"/>
    <w:rsid w:val="00BB7BFB"/>
    <w:rsid w:val="00BB7C11"/>
    <w:rsid w:val="00BC0B11"/>
    <w:rsid w:val="00BC1655"/>
    <w:rsid w:val="00BC1D10"/>
    <w:rsid w:val="00BC1E50"/>
    <w:rsid w:val="00BC2A68"/>
    <w:rsid w:val="00BC2B4D"/>
    <w:rsid w:val="00BC2B96"/>
    <w:rsid w:val="00BC3153"/>
    <w:rsid w:val="00BC3ABB"/>
    <w:rsid w:val="00BC3E0D"/>
    <w:rsid w:val="00BC3F6F"/>
    <w:rsid w:val="00BC46C0"/>
    <w:rsid w:val="00BC4742"/>
    <w:rsid w:val="00BC4ACB"/>
    <w:rsid w:val="00BC5A41"/>
    <w:rsid w:val="00BC5B31"/>
    <w:rsid w:val="00BC6819"/>
    <w:rsid w:val="00BC69BC"/>
    <w:rsid w:val="00BC6A88"/>
    <w:rsid w:val="00BC750A"/>
    <w:rsid w:val="00BC78B9"/>
    <w:rsid w:val="00BC7A4E"/>
    <w:rsid w:val="00BC7C3D"/>
    <w:rsid w:val="00BC7EC1"/>
    <w:rsid w:val="00BD00F2"/>
    <w:rsid w:val="00BD0546"/>
    <w:rsid w:val="00BD077A"/>
    <w:rsid w:val="00BD0BFC"/>
    <w:rsid w:val="00BD0C4D"/>
    <w:rsid w:val="00BD12A1"/>
    <w:rsid w:val="00BD13C3"/>
    <w:rsid w:val="00BD2192"/>
    <w:rsid w:val="00BD266F"/>
    <w:rsid w:val="00BD2BE8"/>
    <w:rsid w:val="00BD2BFE"/>
    <w:rsid w:val="00BD306A"/>
    <w:rsid w:val="00BD426B"/>
    <w:rsid w:val="00BD5688"/>
    <w:rsid w:val="00BD596F"/>
    <w:rsid w:val="00BD5D91"/>
    <w:rsid w:val="00BD68F3"/>
    <w:rsid w:val="00BD6BBD"/>
    <w:rsid w:val="00BD6DC4"/>
    <w:rsid w:val="00BD7331"/>
    <w:rsid w:val="00BD7F4C"/>
    <w:rsid w:val="00BE01E9"/>
    <w:rsid w:val="00BE0225"/>
    <w:rsid w:val="00BE0951"/>
    <w:rsid w:val="00BE09F3"/>
    <w:rsid w:val="00BE0BF3"/>
    <w:rsid w:val="00BE11CF"/>
    <w:rsid w:val="00BE1685"/>
    <w:rsid w:val="00BE1AED"/>
    <w:rsid w:val="00BE26E7"/>
    <w:rsid w:val="00BE2BB5"/>
    <w:rsid w:val="00BE30E7"/>
    <w:rsid w:val="00BE31EF"/>
    <w:rsid w:val="00BE41DD"/>
    <w:rsid w:val="00BE4313"/>
    <w:rsid w:val="00BE4C85"/>
    <w:rsid w:val="00BE4CE7"/>
    <w:rsid w:val="00BE4E27"/>
    <w:rsid w:val="00BE532A"/>
    <w:rsid w:val="00BE5481"/>
    <w:rsid w:val="00BE5918"/>
    <w:rsid w:val="00BE5FA9"/>
    <w:rsid w:val="00BE6386"/>
    <w:rsid w:val="00BE69E0"/>
    <w:rsid w:val="00BE6D5F"/>
    <w:rsid w:val="00BE734A"/>
    <w:rsid w:val="00BE7643"/>
    <w:rsid w:val="00BE7733"/>
    <w:rsid w:val="00BF03CD"/>
    <w:rsid w:val="00BF0470"/>
    <w:rsid w:val="00BF23E7"/>
    <w:rsid w:val="00BF2A07"/>
    <w:rsid w:val="00BF2CED"/>
    <w:rsid w:val="00BF307B"/>
    <w:rsid w:val="00BF32F1"/>
    <w:rsid w:val="00BF3786"/>
    <w:rsid w:val="00BF3943"/>
    <w:rsid w:val="00BF4BD3"/>
    <w:rsid w:val="00BF4C51"/>
    <w:rsid w:val="00BF4F32"/>
    <w:rsid w:val="00BF6541"/>
    <w:rsid w:val="00BF7492"/>
    <w:rsid w:val="00C0031C"/>
    <w:rsid w:val="00C00F82"/>
    <w:rsid w:val="00C01051"/>
    <w:rsid w:val="00C01506"/>
    <w:rsid w:val="00C01E83"/>
    <w:rsid w:val="00C02428"/>
    <w:rsid w:val="00C025DC"/>
    <w:rsid w:val="00C03008"/>
    <w:rsid w:val="00C0394F"/>
    <w:rsid w:val="00C03DC9"/>
    <w:rsid w:val="00C047BC"/>
    <w:rsid w:val="00C049E9"/>
    <w:rsid w:val="00C04A2F"/>
    <w:rsid w:val="00C04C28"/>
    <w:rsid w:val="00C054A1"/>
    <w:rsid w:val="00C05953"/>
    <w:rsid w:val="00C064BA"/>
    <w:rsid w:val="00C07239"/>
    <w:rsid w:val="00C074E4"/>
    <w:rsid w:val="00C10187"/>
    <w:rsid w:val="00C10887"/>
    <w:rsid w:val="00C108EE"/>
    <w:rsid w:val="00C10E0A"/>
    <w:rsid w:val="00C11B17"/>
    <w:rsid w:val="00C11E62"/>
    <w:rsid w:val="00C11EBC"/>
    <w:rsid w:val="00C11FE0"/>
    <w:rsid w:val="00C121BF"/>
    <w:rsid w:val="00C12A7A"/>
    <w:rsid w:val="00C12D09"/>
    <w:rsid w:val="00C131D8"/>
    <w:rsid w:val="00C14529"/>
    <w:rsid w:val="00C14C0E"/>
    <w:rsid w:val="00C155ED"/>
    <w:rsid w:val="00C167E8"/>
    <w:rsid w:val="00C16D0F"/>
    <w:rsid w:val="00C17E92"/>
    <w:rsid w:val="00C202E5"/>
    <w:rsid w:val="00C206D0"/>
    <w:rsid w:val="00C20956"/>
    <w:rsid w:val="00C20D54"/>
    <w:rsid w:val="00C20ED4"/>
    <w:rsid w:val="00C21821"/>
    <w:rsid w:val="00C21C72"/>
    <w:rsid w:val="00C21CBC"/>
    <w:rsid w:val="00C22465"/>
    <w:rsid w:val="00C22EAF"/>
    <w:rsid w:val="00C23024"/>
    <w:rsid w:val="00C231B4"/>
    <w:rsid w:val="00C231E7"/>
    <w:rsid w:val="00C23DB8"/>
    <w:rsid w:val="00C240BF"/>
    <w:rsid w:val="00C240EB"/>
    <w:rsid w:val="00C24486"/>
    <w:rsid w:val="00C2496D"/>
    <w:rsid w:val="00C24BAE"/>
    <w:rsid w:val="00C25338"/>
    <w:rsid w:val="00C255CD"/>
    <w:rsid w:val="00C256A1"/>
    <w:rsid w:val="00C25D39"/>
    <w:rsid w:val="00C26850"/>
    <w:rsid w:val="00C271AF"/>
    <w:rsid w:val="00C27520"/>
    <w:rsid w:val="00C27A98"/>
    <w:rsid w:val="00C3040D"/>
    <w:rsid w:val="00C30472"/>
    <w:rsid w:val="00C30C79"/>
    <w:rsid w:val="00C31B40"/>
    <w:rsid w:val="00C320A0"/>
    <w:rsid w:val="00C32110"/>
    <w:rsid w:val="00C333AF"/>
    <w:rsid w:val="00C342C5"/>
    <w:rsid w:val="00C34522"/>
    <w:rsid w:val="00C349F3"/>
    <w:rsid w:val="00C34BA8"/>
    <w:rsid w:val="00C34D54"/>
    <w:rsid w:val="00C34E67"/>
    <w:rsid w:val="00C34ED0"/>
    <w:rsid w:val="00C352E4"/>
    <w:rsid w:val="00C359A7"/>
    <w:rsid w:val="00C36CAB"/>
    <w:rsid w:val="00C36E47"/>
    <w:rsid w:val="00C372DB"/>
    <w:rsid w:val="00C37325"/>
    <w:rsid w:val="00C377C4"/>
    <w:rsid w:val="00C37A00"/>
    <w:rsid w:val="00C37B95"/>
    <w:rsid w:val="00C37BB9"/>
    <w:rsid w:val="00C4019F"/>
    <w:rsid w:val="00C402D3"/>
    <w:rsid w:val="00C41472"/>
    <w:rsid w:val="00C415A8"/>
    <w:rsid w:val="00C41962"/>
    <w:rsid w:val="00C41B1C"/>
    <w:rsid w:val="00C43278"/>
    <w:rsid w:val="00C434EC"/>
    <w:rsid w:val="00C4374F"/>
    <w:rsid w:val="00C43F53"/>
    <w:rsid w:val="00C442EC"/>
    <w:rsid w:val="00C449FE"/>
    <w:rsid w:val="00C44A20"/>
    <w:rsid w:val="00C45161"/>
    <w:rsid w:val="00C45308"/>
    <w:rsid w:val="00C45B0D"/>
    <w:rsid w:val="00C45D06"/>
    <w:rsid w:val="00C467B0"/>
    <w:rsid w:val="00C469F2"/>
    <w:rsid w:val="00C46E57"/>
    <w:rsid w:val="00C47594"/>
    <w:rsid w:val="00C476F8"/>
    <w:rsid w:val="00C47776"/>
    <w:rsid w:val="00C477C1"/>
    <w:rsid w:val="00C4797D"/>
    <w:rsid w:val="00C50554"/>
    <w:rsid w:val="00C505FC"/>
    <w:rsid w:val="00C50630"/>
    <w:rsid w:val="00C5063D"/>
    <w:rsid w:val="00C5073D"/>
    <w:rsid w:val="00C50766"/>
    <w:rsid w:val="00C51987"/>
    <w:rsid w:val="00C51BF9"/>
    <w:rsid w:val="00C51E6E"/>
    <w:rsid w:val="00C52660"/>
    <w:rsid w:val="00C527C1"/>
    <w:rsid w:val="00C52978"/>
    <w:rsid w:val="00C529E9"/>
    <w:rsid w:val="00C53472"/>
    <w:rsid w:val="00C53B24"/>
    <w:rsid w:val="00C5404C"/>
    <w:rsid w:val="00C54ED0"/>
    <w:rsid w:val="00C55244"/>
    <w:rsid w:val="00C5545E"/>
    <w:rsid w:val="00C5569F"/>
    <w:rsid w:val="00C55970"/>
    <w:rsid w:val="00C55AAD"/>
    <w:rsid w:val="00C5614B"/>
    <w:rsid w:val="00C56982"/>
    <w:rsid w:val="00C5748A"/>
    <w:rsid w:val="00C5774F"/>
    <w:rsid w:val="00C57FCE"/>
    <w:rsid w:val="00C6014B"/>
    <w:rsid w:val="00C606CB"/>
    <w:rsid w:val="00C60DD6"/>
    <w:rsid w:val="00C616DF"/>
    <w:rsid w:val="00C61AEA"/>
    <w:rsid w:val="00C61FBA"/>
    <w:rsid w:val="00C6267D"/>
    <w:rsid w:val="00C629BD"/>
    <w:rsid w:val="00C63101"/>
    <w:rsid w:val="00C63738"/>
    <w:rsid w:val="00C639FF"/>
    <w:rsid w:val="00C63D02"/>
    <w:rsid w:val="00C6426E"/>
    <w:rsid w:val="00C64546"/>
    <w:rsid w:val="00C657A3"/>
    <w:rsid w:val="00C65B70"/>
    <w:rsid w:val="00C65C20"/>
    <w:rsid w:val="00C66CA9"/>
    <w:rsid w:val="00C707B3"/>
    <w:rsid w:val="00C70DF4"/>
    <w:rsid w:val="00C7194D"/>
    <w:rsid w:val="00C72055"/>
    <w:rsid w:val="00C721A4"/>
    <w:rsid w:val="00C72684"/>
    <w:rsid w:val="00C728C9"/>
    <w:rsid w:val="00C72CBD"/>
    <w:rsid w:val="00C72F4B"/>
    <w:rsid w:val="00C73806"/>
    <w:rsid w:val="00C73DC3"/>
    <w:rsid w:val="00C73F03"/>
    <w:rsid w:val="00C74014"/>
    <w:rsid w:val="00C7405D"/>
    <w:rsid w:val="00C74097"/>
    <w:rsid w:val="00C740DD"/>
    <w:rsid w:val="00C74EC6"/>
    <w:rsid w:val="00C7518F"/>
    <w:rsid w:val="00C75827"/>
    <w:rsid w:val="00C759FF"/>
    <w:rsid w:val="00C75AEA"/>
    <w:rsid w:val="00C76765"/>
    <w:rsid w:val="00C76BC7"/>
    <w:rsid w:val="00C77244"/>
    <w:rsid w:val="00C77A55"/>
    <w:rsid w:val="00C77E28"/>
    <w:rsid w:val="00C77FD3"/>
    <w:rsid w:val="00C804F9"/>
    <w:rsid w:val="00C80B6D"/>
    <w:rsid w:val="00C813AD"/>
    <w:rsid w:val="00C81AF9"/>
    <w:rsid w:val="00C81FD9"/>
    <w:rsid w:val="00C8223E"/>
    <w:rsid w:val="00C8244B"/>
    <w:rsid w:val="00C83249"/>
    <w:rsid w:val="00C83CD9"/>
    <w:rsid w:val="00C8415E"/>
    <w:rsid w:val="00C84553"/>
    <w:rsid w:val="00C867E8"/>
    <w:rsid w:val="00C87175"/>
    <w:rsid w:val="00C87DD0"/>
    <w:rsid w:val="00C87E13"/>
    <w:rsid w:val="00C87E79"/>
    <w:rsid w:val="00C900C9"/>
    <w:rsid w:val="00C904A8"/>
    <w:rsid w:val="00C904B9"/>
    <w:rsid w:val="00C90A6D"/>
    <w:rsid w:val="00C9114E"/>
    <w:rsid w:val="00C91737"/>
    <w:rsid w:val="00C91D33"/>
    <w:rsid w:val="00C92836"/>
    <w:rsid w:val="00C92B56"/>
    <w:rsid w:val="00C92C06"/>
    <w:rsid w:val="00C9438C"/>
    <w:rsid w:val="00C944A6"/>
    <w:rsid w:val="00C9497D"/>
    <w:rsid w:val="00C94D67"/>
    <w:rsid w:val="00C9538E"/>
    <w:rsid w:val="00C95489"/>
    <w:rsid w:val="00C9555E"/>
    <w:rsid w:val="00C956E6"/>
    <w:rsid w:val="00C9594F"/>
    <w:rsid w:val="00C95C8E"/>
    <w:rsid w:val="00C95FEB"/>
    <w:rsid w:val="00C96049"/>
    <w:rsid w:val="00C9629F"/>
    <w:rsid w:val="00C96300"/>
    <w:rsid w:val="00C96A61"/>
    <w:rsid w:val="00C97B9B"/>
    <w:rsid w:val="00CA0478"/>
    <w:rsid w:val="00CA0732"/>
    <w:rsid w:val="00CA09CE"/>
    <w:rsid w:val="00CA0ECE"/>
    <w:rsid w:val="00CA16B9"/>
    <w:rsid w:val="00CA1CB9"/>
    <w:rsid w:val="00CA1FFF"/>
    <w:rsid w:val="00CA2C95"/>
    <w:rsid w:val="00CA37F1"/>
    <w:rsid w:val="00CA39CD"/>
    <w:rsid w:val="00CA4519"/>
    <w:rsid w:val="00CA451B"/>
    <w:rsid w:val="00CA4F1B"/>
    <w:rsid w:val="00CA603D"/>
    <w:rsid w:val="00CA60DF"/>
    <w:rsid w:val="00CA6320"/>
    <w:rsid w:val="00CA67AA"/>
    <w:rsid w:val="00CA69D0"/>
    <w:rsid w:val="00CB11A3"/>
    <w:rsid w:val="00CB1799"/>
    <w:rsid w:val="00CB1E39"/>
    <w:rsid w:val="00CB237B"/>
    <w:rsid w:val="00CB29CD"/>
    <w:rsid w:val="00CB2C52"/>
    <w:rsid w:val="00CB2D95"/>
    <w:rsid w:val="00CB2FB9"/>
    <w:rsid w:val="00CB33B3"/>
    <w:rsid w:val="00CB38E7"/>
    <w:rsid w:val="00CB3BE9"/>
    <w:rsid w:val="00CB3C91"/>
    <w:rsid w:val="00CB3F98"/>
    <w:rsid w:val="00CB4C08"/>
    <w:rsid w:val="00CB4C20"/>
    <w:rsid w:val="00CB4D34"/>
    <w:rsid w:val="00CB59F7"/>
    <w:rsid w:val="00CB61BE"/>
    <w:rsid w:val="00CB71A0"/>
    <w:rsid w:val="00CB7605"/>
    <w:rsid w:val="00CB76FD"/>
    <w:rsid w:val="00CB7BC4"/>
    <w:rsid w:val="00CB7C71"/>
    <w:rsid w:val="00CB7FC3"/>
    <w:rsid w:val="00CC0847"/>
    <w:rsid w:val="00CC0D19"/>
    <w:rsid w:val="00CC0E26"/>
    <w:rsid w:val="00CC0E56"/>
    <w:rsid w:val="00CC167E"/>
    <w:rsid w:val="00CC1A52"/>
    <w:rsid w:val="00CC1A77"/>
    <w:rsid w:val="00CC1C6A"/>
    <w:rsid w:val="00CC1C7E"/>
    <w:rsid w:val="00CC1E35"/>
    <w:rsid w:val="00CC20D2"/>
    <w:rsid w:val="00CC21A5"/>
    <w:rsid w:val="00CC249D"/>
    <w:rsid w:val="00CC267F"/>
    <w:rsid w:val="00CC2CE3"/>
    <w:rsid w:val="00CC30EB"/>
    <w:rsid w:val="00CC315C"/>
    <w:rsid w:val="00CC31D6"/>
    <w:rsid w:val="00CC33AD"/>
    <w:rsid w:val="00CC4D9A"/>
    <w:rsid w:val="00CC5040"/>
    <w:rsid w:val="00CC5853"/>
    <w:rsid w:val="00CC6151"/>
    <w:rsid w:val="00CC65E8"/>
    <w:rsid w:val="00CC68AE"/>
    <w:rsid w:val="00CC7390"/>
    <w:rsid w:val="00CC76E8"/>
    <w:rsid w:val="00CD00AF"/>
    <w:rsid w:val="00CD0CE8"/>
    <w:rsid w:val="00CD2725"/>
    <w:rsid w:val="00CD2A2B"/>
    <w:rsid w:val="00CD3134"/>
    <w:rsid w:val="00CD3361"/>
    <w:rsid w:val="00CD394F"/>
    <w:rsid w:val="00CD3A34"/>
    <w:rsid w:val="00CD3A65"/>
    <w:rsid w:val="00CD3E7A"/>
    <w:rsid w:val="00CD4424"/>
    <w:rsid w:val="00CD4DF1"/>
    <w:rsid w:val="00CD4F51"/>
    <w:rsid w:val="00CD5361"/>
    <w:rsid w:val="00CD5648"/>
    <w:rsid w:val="00CD5ED6"/>
    <w:rsid w:val="00CD60DD"/>
    <w:rsid w:val="00CD6317"/>
    <w:rsid w:val="00CD6DE9"/>
    <w:rsid w:val="00CD7549"/>
    <w:rsid w:val="00CE0864"/>
    <w:rsid w:val="00CE18DD"/>
    <w:rsid w:val="00CE1A21"/>
    <w:rsid w:val="00CE1BC2"/>
    <w:rsid w:val="00CE1CE2"/>
    <w:rsid w:val="00CE1EAB"/>
    <w:rsid w:val="00CE200D"/>
    <w:rsid w:val="00CE247D"/>
    <w:rsid w:val="00CE27AA"/>
    <w:rsid w:val="00CE27E1"/>
    <w:rsid w:val="00CE2EFA"/>
    <w:rsid w:val="00CE3CC4"/>
    <w:rsid w:val="00CE3FC1"/>
    <w:rsid w:val="00CE4651"/>
    <w:rsid w:val="00CE476B"/>
    <w:rsid w:val="00CE4ABB"/>
    <w:rsid w:val="00CE4FE7"/>
    <w:rsid w:val="00CE5062"/>
    <w:rsid w:val="00CE5208"/>
    <w:rsid w:val="00CE52C1"/>
    <w:rsid w:val="00CE54CA"/>
    <w:rsid w:val="00CE569E"/>
    <w:rsid w:val="00CE5935"/>
    <w:rsid w:val="00CE5F0E"/>
    <w:rsid w:val="00CE6CDA"/>
    <w:rsid w:val="00CE75B2"/>
    <w:rsid w:val="00CE75DE"/>
    <w:rsid w:val="00CE7BB7"/>
    <w:rsid w:val="00CEB6B2"/>
    <w:rsid w:val="00CF00BF"/>
    <w:rsid w:val="00CF0142"/>
    <w:rsid w:val="00CF0A31"/>
    <w:rsid w:val="00CF0C89"/>
    <w:rsid w:val="00CF31BD"/>
    <w:rsid w:val="00CF36CD"/>
    <w:rsid w:val="00CF3739"/>
    <w:rsid w:val="00CF38D2"/>
    <w:rsid w:val="00CF5106"/>
    <w:rsid w:val="00CF5205"/>
    <w:rsid w:val="00CF52BB"/>
    <w:rsid w:val="00CF568A"/>
    <w:rsid w:val="00CF5848"/>
    <w:rsid w:val="00CF5C59"/>
    <w:rsid w:val="00CF62BF"/>
    <w:rsid w:val="00CF694F"/>
    <w:rsid w:val="00CF7A78"/>
    <w:rsid w:val="00CF7B47"/>
    <w:rsid w:val="00D00E0A"/>
    <w:rsid w:val="00D01631"/>
    <w:rsid w:val="00D01A7F"/>
    <w:rsid w:val="00D01EC0"/>
    <w:rsid w:val="00D022BC"/>
    <w:rsid w:val="00D02C95"/>
    <w:rsid w:val="00D03EC7"/>
    <w:rsid w:val="00D045A5"/>
    <w:rsid w:val="00D0492F"/>
    <w:rsid w:val="00D04CC5"/>
    <w:rsid w:val="00D05DB9"/>
    <w:rsid w:val="00D05E42"/>
    <w:rsid w:val="00D064D3"/>
    <w:rsid w:val="00D067B8"/>
    <w:rsid w:val="00D0699E"/>
    <w:rsid w:val="00D06BE1"/>
    <w:rsid w:val="00D07164"/>
    <w:rsid w:val="00D074ED"/>
    <w:rsid w:val="00D0760B"/>
    <w:rsid w:val="00D079A7"/>
    <w:rsid w:val="00D100C0"/>
    <w:rsid w:val="00D106C9"/>
    <w:rsid w:val="00D10992"/>
    <w:rsid w:val="00D10EFF"/>
    <w:rsid w:val="00D11083"/>
    <w:rsid w:val="00D11923"/>
    <w:rsid w:val="00D11A91"/>
    <w:rsid w:val="00D11DFA"/>
    <w:rsid w:val="00D1285D"/>
    <w:rsid w:val="00D13234"/>
    <w:rsid w:val="00D132BC"/>
    <w:rsid w:val="00D14819"/>
    <w:rsid w:val="00D14AA1"/>
    <w:rsid w:val="00D15F2E"/>
    <w:rsid w:val="00D1641D"/>
    <w:rsid w:val="00D167B6"/>
    <w:rsid w:val="00D16EFD"/>
    <w:rsid w:val="00D1738E"/>
    <w:rsid w:val="00D17702"/>
    <w:rsid w:val="00D17779"/>
    <w:rsid w:val="00D20621"/>
    <w:rsid w:val="00D20668"/>
    <w:rsid w:val="00D20B82"/>
    <w:rsid w:val="00D20EC9"/>
    <w:rsid w:val="00D21F04"/>
    <w:rsid w:val="00D220A7"/>
    <w:rsid w:val="00D228FC"/>
    <w:rsid w:val="00D23C0B"/>
    <w:rsid w:val="00D24640"/>
    <w:rsid w:val="00D24645"/>
    <w:rsid w:val="00D24669"/>
    <w:rsid w:val="00D24D7D"/>
    <w:rsid w:val="00D25041"/>
    <w:rsid w:val="00D251BE"/>
    <w:rsid w:val="00D2679B"/>
    <w:rsid w:val="00D27C5F"/>
    <w:rsid w:val="00D30646"/>
    <w:rsid w:val="00D3159C"/>
    <w:rsid w:val="00D323B8"/>
    <w:rsid w:val="00D32413"/>
    <w:rsid w:val="00D327C4"/>
    <w:rsid w:val="00D32F0B"/>
    <w:rsid w:val="00D336C8"/>
    <w:rsid w:val="00D33A05"/>
    <w:rsid w:val="00D34785"/>
    <w:rsid w:val="00D34CFB"/>
    <w:rsid w:val="00D34FF5"/>
    <w:rsid w:val="00D35533"/>
    <w:rsid w:val="00D359AE"/>
    <w:rsid w:val="00D35C00"/>
    <w:rsid w:val="00D363B6"/>
    <w:rsid w:val="00D3676B"/>
    <w:rsid w:val="00D4097B"/>
    <w:rsid w:val="00D40CCA"/>
    <w:rsid w:val="00D40FAF"/>
    <w:rsid w:val="00D433D9"/>
    <w:rsid w:val="00D44B5E"/>
    <w:rsid w:val="00D44BA7"/>
    <w:rsid w:val="00D45867"/>
    <w:rsid w:val="00D45D0E"/>
    <w:rsid w:val="00D466BD"/>
    <w:rsid w:val="00D467C9"/>
    <w:rsid w:val="00D46919"/>
    <w:rsid w:val="00D46F88"/>
    <w:rsid w:val="00D47105"/>
    <w:rsid w:val="00D47204"/>
    <w:rsid w:val="00D47C32"/>
    <w:rsid w:val="00D47EEA"/>
    <w:rsid w:val="00D5015A"/>
    <w:rsid w:val="00D501BC"/>
    <w:rsid w:val="00D50A0E"/>
    <w:rsid w:val="00D5106F"/>
    <w:rsid w:val="00D515AE"/>
    <w:rsid w:val="00D5224C"/>
    <w:rsid w:val="00D52C20"/>
    <w:rsid w:val="00D52C3E"/>
    <w:rsid w:val="00D52EC2"/>
    <w:rsid w:val="00D53528"/>
    <w:rsid w:val="00D5466C"/>
    <w:rsid w:val="00D54A6E"/>
    <w:rsid w:val="00D54FC6"/>
    <w:rsid w:val="00D553B6"/>
    <w:rsid w:val="00D5575E"/>
    <w:rsid w:val="00D55993"/>
    <w:rsid w:val="00D559C1"/>
    <w:rsid w:val="00D55CAE"/>
    <w:rsid w:val="00D5622B"/>
    <w:rsid w:val="00D56474"/>
    <w:rsid w:val="00D56513"/>
    <w:rsid w:val="00D56567"/>
    <w:rsid w:val="00D56709"/>
    <w:rsid w:val="00D5697F"/>
    <w:rsid w:val="00D56A9D"/>
    <w:rsid w:val="00D570D5"/>
    <w:rsid w:val="00D5768E"/>
    <w:rsid w:val="00D57D16"/>
    <w:rsid w:val="00D60223"/>
    <w:rsid w:val="00D602A6"/>
    <w:rsid w:val="00D60384"/>
    <w:rsid w:val="00D6039C"/>
    <w:rsid w:val="00D604FF"/>
    <w:rsid w:val="00D60867"/>
    <w:rsid w:val="00D60A87"/>
    <w:rsid w:val="00D60C99"/>
    <w:rsid w:val="00D611F7"/>
    <w:rsid w:val="00D61264"/>
    <w:rsid w:val="00D617A9"/>
    <w:rsid w:val="00D61AAA"/>
    <w:rsid w:val="00D61B5F"/>
    <w:rsid w:val="00D61DDE"/>
    <w:rsid w:val="00D61E2F"/>
    <w:rsid w:val="00D627D2"/>
    <w:rsid w:val="00D63258"/>
    <w:rsid w:val="00D63388"/>
    <w:rsid w:val="00D634C1"/>
    <w:rsid w:val="00D637C7"/>
    <w:rsid w:val="00D63E06"/>
    <w:rsid w:val="00D63E92"/>
    <w:rsid w:val="00D64013"/>
    <w:rsid w:val="00D6483E"/>
    <w:rsid w:val="00D6516D"/>
    <w:rsid w:val="00D65A76"/>
    <w:rsid w:val="00D65F22"/>
    <w:rsid w:val="00D6619C"/>
    <w:rsid w:val="00D66695"/>
    <w:rsid w:val="00D669E9"/>
    <w:rsid w:val="00D66BA4"/>
    <w:rsid w:val="00D66CA6"/>
    <w:rsid w:val="00D671DA"/>
    <w:rsid w:val="00D673FF"/>
    <w:rsid w:val="00D67925"/>
    <w:rsid w:val="00D7032C"/>
    <w:rsid w:val="00D70354"/>
    <w:rsid w:val="00D70A59"/>
    <w:rsid w:val="00D70B3A"/>
    <w:rsid w:val="00D71430"/>
    <w:rsid w:val="00D71628"/>
    <w:rsid w:val="00D71884"/>
    <w:rsid w:val="00D71C21"/>
    <w:rsid w:val="00D7230A"/>
    <w:rsid w:val="00D72692"/>
    <w:rsid w:val="00D7276B"/>
    <w:rsid w:val="00D72D8E"/>
    <w:rsid w:val="00D732A2"/>
    <w:rsid w:val="00D733E9"/>
    <w:rsid w:val="00D73DC4"/>
    <w:rsid w:val="00D73FAA"/>
    <w:rsid w:val="00D74160"/>
    <w:rsid w:val="00D74325"/>
    <w:rsid w:val="00D74419"/>
    <w:rsid w:val="00D751CB"/>
    <w:rsid w:val="00D756E6"/>
    <w:rsid w:val="00D75B57"/>
    <w:rsid w:val="00D76B63"/>
    <w:rsid w:val="00D773EE"/>
    <w:rsid w:val="00D777F3"/>
    <w:rsid w:val="00D77CDF"/>
    <w:rsid w:val="00D8032B"/>
    <w:rsid w:val="00D8053C"/>
    <w:rsid w:val="00D80B16"/>
    <w:rsid w:val="00D81133"/>
    <w:rsid w:val="00D826BA"/>
    <w:rsid w:val="00D82779"/>
    <w:rsid w:val="00D828C5"/>
    <w:rsid w:val="00D83A90"/>
    <w:rsid w:val="00D83F0B"/>
    <w:rsid w:val="00D84038"/>
    <w:rsid w:val="00D8448C"/>
    <w:rsid w:val="00D85194"/>
    <w:rsid w:val="00D868FF"/>
    <w:rsid w:val="00D86C62"/>
    <w:rsid w:val="00D86E08"/>
    <w:rsid w:val="00D86F4F"/>
    <w:rsid w:val="00D8717B"/>
    <w:rsid w:val="00D8738D"/>
    <w:rsid w:val="00D903A8"/>
    <w:rsid w:val="00D906C9"/>
    <w:rsid w:val="00D90F9F"/>
    <w:rsid w:val="00D92475"/>
    <w:rsid w:val="00D927B8"/>
    <w:rsid w:val="00D9387F"/>
    <w:rsid w:val="00D9389F"/>
    <w:rsid w:val="00D94303"/>
    <w:rsid w:val="00D946EC"/>
    <w:rsid w:val="00D96220"/>
    <w:rsid w:val="00D968E2"/>
    <w:rsid w:val="00D969F6"/>
    <w:rsid w:val="00D96BFB"/>
    <w:rsid w:val="00D96DEC"/>
    <w:rsid w:val="00D96F48"/>
    <w:rsid w:val="00D9770E"/>
    <w:rsid w:val="00D97860"/>
    <w:rsid w:val="00DA00D1"/>
    <w:rsid w:val="00DA13E2"/>
    <w:rsid w:val="00DA17BD"/>
    <w:rsid w:val="00DA1C1B"/>
    <w:rsid w:val="00DA21A0"/>
    <w:rsid w:val="00DA2874"/>
    <w:rsid w:val="00DA2C3D"/>
    <w:rsid w:val="00DA2E41"/>
    <w:rsid w:val="00DA3B1D"/>
    <w:rsid w:val="00DA3E73"/>
    <w:rsid w:val="00DA458B"/>
    <w:rsid w:val="00DA491F"/>
    <w:rsid w:val="00DA4B56"/>
    <w:rsid w:val="00DA4B69"/>
    <w:rsid w:val="00DA4C42"/>
    <w:rsid w:val="00DA51E8"/>
    <w:rsid w:val="00DA58FF"/>
    <w:rsid w:val="00DA59FA"/>
    <w:rsid w:val="00DA5F0F"/>
    <w:rsid w:val="00DA680F"/>
    <w:rsid w:val="00DA6A15"/>
    <w:rsid w:val="00DA6A46"/>
    <w:rsid w:val="00DA6C51"/>
    <w:rsid w:val="00DA7417"/>
    <w:rsid w:val="00DA76C7"/>
    <w:rsid w:val="00DB01D4"/>
    <w:rsid w:val="00DB04B5"/>
    <w:rsid w:val="00DB0F28"/>
    <w:rsid w:val="00DB0FE9"/>
    <w:rsid w:val="00DB1CCD"/>
    <w:rsid w:val="00DB2113"/>
    <w:rsid w:val="00DB28D5"/>
    <w:rsid w:val="00DB3E3C"/>
    <w:rsid w:val="00DB4B5B"/>
    <w:rsid w:val="00DB4B92"/>
    <w:rsid w:val="00DB4C9D"/>
    <w:rsid w:val="00DB4DE8"/>
    <w:rsid w:val="00DB5636"/>
    <w:rsid w:val="00DB604A"/>
    <w:rsid w:val="00DB72A6"/>
    <w:rsid w:val="00DB757B"/>
    <w:rsid w:val="00DB7B20"/>
    <w:rsid w:val="00DC1203"/>
    <w:rsid w:val="00DC12FF"/>
    <w:rsid w:val="00DC1997"/>
    <w:rsid w:val="00DC1B09"/>
    <w:rsid w:val="00DC1D1E"/>
    <w:rsid w:val="00DC2448"/>
    <w:rsid w:val="00DC32B5"/>
    <w:rsid w:val="00DC3D31"/>
    <w:rsid w:val="00DC3FA7"/>
    <w:rsid w:val="00DC4E57"/>
    <w:rsid w:val="00DC5FFE"/>
    <w:rsid w:val="00DC634D"/>
    <w:rsid w:val="00DC6715"/>
    <w:rsid w:val="00DC6731"/>
    <w:rsid w:val="00DC6F81"/>
    <w:rsid w:val="00DC7C65"/>
    <w:rsid w:val="00DC7D86"/>
    <w:rsid w:val="00DC7FDC"/>
    <w:rsid w:val="00DD0027"/>
    <w:rsid w:val="00DD0211"/>
    <w:rsid w:val="00DD073A"/>
    <w:rsid w:val="00DD0812"/>
    <w:rsid w:val="00DD172B"/>
    <w:rsid w:val="00DD186A"/>
    <w:rsid w:val="00DD1CE0"/>
    <w:rsid w:val="00DD20DB"/>
    <w:rsid w:val="00DD2380"/>
    <w:rsid w:val="00DD2808"/>
    <w:rsid w:val="00DD37C2"/>
    <w:rsid w:val="00DD3868"/>
    <w:rsid w:val="00DD3AB1"/>
    <w:rsid w:val="00DD40F2"/>
    <w:rsid w:val="00DD4330"/>
    <w:rsid w:val="00DD46C9"/>
    <w:rsid w:val="00DD4B04"/>
    <w:rsid w:val="00DD4CDF"/>
    <w:rsid w:val="00DD58FC"/>
    <w:rsid w:val="00DD5EAF"/>
    <w:rsid w:val="00DD60FA"/>
    <w:rsid w:val="00DD67D8"/>
    <w:rsid w:val="00DD685E"/>
    <w:rsid w:val="00DD68A4"/>
    <w:rsid w:val="00DE003D"/>
    <w:rsid w:val="00DE0327"/>
    <w:rsid w:val="00DE112E"/>
    <w:rsid w:val="00DE180E"/>
    <w:rsid w:val="00DE2400"/>
    <w:rsid w:val="00DE249C"/>
    <w:rsid w:val="00DE2BEB"/>
    <w:rsid w:val="00DE2D32"/>
    <w:rsid w:val="00DE35B0"/>
    <w:rsid w:val="00DE35E6"/>
    <w:rsid w:val="00DE4475"/>
    <w:rsid w:val="00DE46A8"/>
    <w:rsid w:val="00DE46A9"/>
    <w:rsid w:val="00DE4918"/>
    <w:rsid w:val="00DE4CEE"/>
    <w:rsid w:val="00DE58AB"/>
    <w:rsid w:val="00DE6492"/>
    <w:rsid w:val="00DE64E3"/>
    <w:rsid w:val="00DE6847"/>
    <w:rsid w:val="00DE6FB9"/>
    <w:rsid w:val="00DE715A"/>
    <w:rsid w:val="00DE7434"/>
    <w:rsid w:val="00DE75BA"/>
    <w:rsid w:val="00DE7A81"/>
    <w:rsid w:val="00DE7CDE"/>
    <w:rsid w:val="00DF09D0"/>
    <w:rsid w:val="00DF0E08"/>
    <w:rsid w:val="00DF1938"/>
    <w:rsid w:val="00DF2922"/>
    <w:rsid w:val="00DF2C97"/>
    <w:rsid w:val="00DF2CA3"/>
    <w:rsid w:val="00DF3BF4"/>
    <w:rsid w:val="00DF4BCF"/>
    <w:rsid w:val="00DF4C80"/>
    <w:rsid w:val="00DF4D4E"/>
    <w:rsid w:val="00DF50AB"/>
    <w:rsid w:val="00DF53EB"/>
    <w:rsid w:val="00DF5631"/>
    <w:rsid w:val="00DF5B5E"/>
    <w:rsid w:val="00DF5CC0"/>
    <w:rsid w:val="00DF698A"/>
    <w:rsid w:val="00DF784F"/>
    <w:rsid w:val="00E00244"/>
    <w:rsid w:val="00E00496"/>
    <w:rsid w:val="00E00D6D"/>
    <w:rsid w:val="00E015DB"/>
    <w:rsid w:val="00E01D9A"/>
    <w:rsid w:val="00E01E3B"/>
    <w:rsid w:val="00E01E74"/>
    <w:rsid w:val="00E0253A"/>
    <w:rsid w:val="00E02CED"/>
    <w:rsid w:val="00E0309C"/>
    <w:rsid w:val="00E0347D"/>
    <w:rsid w:val="00E03487"/>
    <w:rsid w:val="00E035E2"/>
    <w:rsid w:val="00E03B96"/>
    <w:rsid w:val="00E047E4"/>
    <w:rsid w:val="00E05BE3"/>
    <w:rsid w:val="00E05C3A"/>
    <w:rsid w:val="00E064FD"/>
    <w:rsid w:val="00E065DE"/>
    <w:rsid w:val="00E06732"/>
    <w:rsid w:val="00E06C14"/>
    <w:rsid w:val="00E072AA"/>
    <w:rsid w:val="00E07375"/>
    <w:rsid w:val="00E07B37"/>
    <w:rsid w:val="00E07EF0"/>
    <w:rsid w:val="00E104BC"/>
    <w:rsid w:val="00E11267"/>
    <w:rsid w:val="00E1147C"/>
    <w:rsid w:val="00E11639"/>
    <w:rsid w:val="00E11DE7"/>
    <w:rsid w:val="00E11FB2"/>
    <w:rsid w:val="00E12558"/>
    <w:rsid w:val="00E1257A"/>
    <w:rsid w:val="00E1274B"/>
    <w:rsid w:val="00E12CCC"/>
    <w:rsid w:val="00E12E4D"/>
    <w:rsid w:val="00E131E1"/>
    <w:rsid w:val="00E136F6"/>
    <w:rsid w:val="00E1464A"/>
    <w:rsid w:val="00E14E51"/>
    <w:rsid w:val="00E14EF6"/>
    <w:rsid w:val="00E152E9"/>
    <w:rsid w:val="00E1544C"/>
    <w:rsid w:val="00E162CC"/>
    <w:rsid w:val="00E169B2"/>
    <w:rsid w:val="00E169B6"/>
    <w:rsid w:val="00E16F82"/>
    <w:rsid w:val="00E17129"/>
    <w:rsid w:val="00E175F6"/>
    <w:rsid w:val="00E176E5"/>
    <w:rsid w:val="00E17B5B"/>
    <w:rsid w:val="00E20097"/>
    <w:rsid w:val="00E201AD"/>
    <w:rsid w:val="00E20721"/>
    <w:rsid w:val="00E20950"/>
    <w:rsid w:val="00E209B3"/>
    <w:rsid w:val="00E20B22"/>
    <w:rsid w:val="00E2158B"/>
    <w:rsid w:val="00E22018"/>
    <w:rsid w:val="00E2209A"/>
    <w:rsid w:val="00E22962"/>
    <w:rsid w:val="00E23325"/>
    <w:rsid w:val="00E23527"/>
    <w:rsid w:val="00E239AA"/>
    <w:rsid w:val="00E257F5"/>
    <w:rsid w:val="00E25809"/>
    <w:rsid w:val="00E2583E"/>
    <w:rsid w:val="00E26218"/>
    <w:rsid w:val="00E26559"/>
    <w:rsid w:val="00E26A63"/>
    <w:rsid w:val="00E26DAC"/>
    <w:rsid w:val="00E27D78"/>
    <w:rsid w:val="00E27D8F"/>
    <w:rsid w:val="00E3001B"/>
    <w:rsid w:val="00E30322"/>
    <w:rsid w:val="00E3094E"/>
    <w:rsid w:val="00E309D1"/>
    <w:rsid w:val="00E30DE3"/>
    <w:rsid w:val="00E31623"/>
    <w:rsid w:val="00E317B6"/>
    <w:rsid w:val="00E3181B"/>
    <w:rsid w:val="00E318A5"/>
    <w:rsid w:val="00E318AC"/>
    <w:rsid w:val="00E31DEA"/>
    <w:rsid w:val="00E31EDB"/>
    <w:rsid w:val="00E31FD7"/>
    <w:rsid w:val="00E32998"/>
    <w:rsid w:val="00E32A42"/>
    <w:rsid w:val="00E32CED"/>
    <w:rsid w:val="00E33A45"/>
    <w:rsid w:val="00E34AAA"/>
    <w:rsid w:val="00E34AD1"/>
    <w:rsid w:val="00E35DCC"/>
    <w:rsid w:val="00E3613C"/>
    <w:rsid w:val="00E36B24"/>
    <w:rsid w:val="00E37708"/>
    <w:rsid w:val="00E37780"/>
    <w:rsid w:val="00E37BE9"/>
    <w:rsid w:val="00E40E8E"/>
    <w:rsid w:val="00E4147C"/>
    <w:rsid w:val="00E41721"/>
    <w:rsid w:val="00E41AD3"/>
    <w:rsid w:val="00E41D9D"/>
    <w:rsid w:val="00E41E60"/>
    <w:rsid w:val="00E41FD7"/>
    <w:rsid w:val="00E42568"/>
    <w:rsid w:val="00E42DB6"/>
    <w:rsid w:val="00E4323A"/>
    <w:rsid w:val="00E433E3"/>
    <w:rsid w:val="00E435F8"/>
    <w:rsid w:val="00E436E2"/>
    <w:rsid w:val="00E4379F"/>
    <w:rsid w:val="00E43B2C"/>
    <w:rsid w:val="00E43D50"/>
    <w:rsid w:val="00E441ED"/>
    <w:rsid w:val="00E44EBA"/>
    <w:rsid w:val="00E44EF8"/>
    <w:rsid w:val="00E4584E"/>
    <w:rsid w:val="00E45AA7"/>
    <w:rsid w:val="00E46062"/>
    <w:rsid w:val="00E460CE"/>
    <w:rsid w:val="00E476D3"/>
    <w:rsid w:val="00E50499"/>
    <w:rsid w:val="00E50675"/>
    <w:rsid w:val="00E50B9D"/>
    <w:rsid w:val="00E52875"/>
    <w:rsid w:val="00E52BAD"/>
    <w:rsid w:val="00E52F9C"/>
    <w:rsid w:val="00E53490"/>
    <w:rsid w:val="00E5377E"/>
    <w:rsid w:val="00E538B2"/>
    <w:rsid w:val="00E53A71"/>
    <w:rsid w:val="00E53B9E"/>
    <w:rsid w:val="00E53C71"/>
    <w:rsid w:val="00E548CA"/>
    <w:rsid w:val="00E5538C"/>
    <w:rsid w:val="00E553BC"/>
    <w:rsid w:val="00E553FB"/>
    <w:rsid w:val="00E55B2E"/>
    <w:rsid w:val="00E55F03"/>
    <w:rsid w:val="00E563A9"/>
    <w:rsid w:val="00E5678B"/>
    <w:rsid w:val="00E567AC"/>
    <w:rsid w:val="00E569C2"/>
    <w:rsid w:val="00E569C9"/>
    <w:rsid w:val="00E56B2E"/>
    <w:rsid w:val="00E56FF6"/>
    <w:rsid w:val="00E60526"/>
    <w:rsid w:val="00E608C1"/>
    <w:rsid w:val="00E60F08"/>
    <w:rsid w:val="00E610FA"/>
    <w:rsid w:val="00E61259"/>
    <w:rsid w:val="00E62312"/>
    <w:rsid w:val="00E62365"/>
    <w:rsid w:val="00E62724"/>
    <w:rsid w:val="00E62B52"/>
    <w:rsid w:val="00E62DE3"/>
    <w:rsid w:val="00E62EE2"/>
    <w:rsid w:val="00E62FC4"/>
    <w:rsid w:val="00E634D4"/>
    <w:rsid w:val="00E63608"/>
    <w:rsid w:val="00E6362C"/>
    <w:rsid w:val="00E63FBF"/>
    <w:rsid w:val="00E64948"/>
    <w:rsid w:val="00E64BD6"/>
    <w:rsid w:val="00E64EC7"/>
    <w:rsid w:val="00E651F2"/>
    <w:rsid w:val="00E65935"/>
    <w:rsid w:val="00E65D23"/>
    <w:rsid w:val="00E6662B"/>
    <w:rsid w:val="00E67009"/>
    <w:rsid w:val="00E67115"/>
    <w:rsid w:val="00E67272"/>
    <w:rsid w:val="00E677DE"/>
    <w:rsid w:val="00E70471"/>
    <w:rsid w:val="00E70D28"/>
    <w:rsid w:val="00E70F5D"/>
    <w:rsid w:val="00E71116"/>
    <w:rsid w:val="00E720B9"/>
    <w:rsid w:val="00E728CB"/>
    <w:rsid w:val="00E732E0"/>
    <w:rsid w:val="00E73763"/>
    <w:rsid w:val="00E74259"/>
    <w:rsid w:val="00E7429A"/>
    <w:rsid w:val="00E74D25"/>
    <w:rsid w:val="00E759FF"/>
    <w:rsid w:val="00E75CAE"/>
    <w:rsid w:val="00E75DD9"/>
    <w:rsid w:val="00E75EA3"/>
    <w:rsid w:val="00E75EC1"/>
    <w:rsid w:val="00E75F1B"/>
    <w:rsid w:val="00E7614B"/>
    <w:rsid w:val="00E7642B"/>
    <w:rsid w:val="00E76552"/>
    <w:rsid w:val="00E771EF"/>
    <w:rsid w:val="00E80587"/>
    <w:rsid w:val="00E8058C"/>
    <w:rsid w:val="00E80976"/>
    <w:rsid w:val="00E81116"/>
    <w:rsid w:val="00E81831"/>
    <w:rsid w:val="00E81C17"/>
    <w:rsid w:val="00E81FED"/>
    <w:rsid w:val="00E820FD"/>
    <w:rsid w:val="00E82499"/>
    <w:rsid w:val="00E82A4F"/>
    <w:rsid w:val="00E82F68"/>
    <w:rsid w:val="00E83B2D"/>
    <w:rsid w:val="00E8446A"/>
    <w:rsid w:val="00E85231"/>
    <w:rsid w:val="00E85C42"/>
    <w:rsid w:val="00E85C71"/>
    <w:rsid w:val="00E85F5B"/>
    <w:rsid w:val="00E86358"/>
    <w:rsid w:val="00E86AD4"/>
    <w:rsid w:val="00E86E75"/>
    <w:rsid w:val="00E86FA6"/>
    <w:rsid w:val="00E87383"/>
    <w:rsid w:val="00E87B96"/>
    <w:rsid w:val="00E87C2F"/>
    <w:rsid w:val="00E87CFD"/>
    <w:rsid w:val="00E904C5"/>
    <w:rsid w:val="00E90522"/>
    <w:rsid w:val="00E9069D"/>
    <w:rsid w:val="00E908FF"/>
    <w:rsid w:val="00E9141B"/>
    <w:rsid w:val="00E91CE4"/>
    <w:rsid w:val="00E91DA1"/>
    <w:rsid w:val="00E9235B"/>
    <w:rsid w:val="00E92386"/>
    <w:rsid w:val="00E92F6E"/>
    <w:rsid w:val="00E937A1"/>
    <w:rsid w:val="00E93AB1"/>
    <w:rsid w:val="00E942E2"/>
    <w:rsid w:val="00E94C5D"/>
    <w:rsid w:val="00E95DC5"/>
    <w:rsid w:val="00E95DCE"/>
    <w:rsid w:val="00E965CF"/>
    <w:rsid w:val="00E96D6F"/>
    <w:rsid w:val="00E97812"/>
    <w:rsid w:val="00E9782C"/>
    <w:rsid w:val="00EA04E8"/>
    <w:rsid w:val="00EA0ACF"/>
    <w:rsid w:val="00EA0B60"/>
    <w:rsid w:val="00EA1467"/>
    <w:rsid w:val="00EA20A0"/>
    <w:rsid w:val="00EA268C"/>
    <w:rsid w:val="00EA3225"/>
    <w:rsid w:val="00EA3260"/>
    <w:rsid w:val="00EA3767"/>
    <w:rsid w:val="00EA37A6"/>
    <w:rsid w:val="00EA39E7"/>
    <w:rsid w:val="00EA3F3F"/>
    <w:rsid w:val="00EA42A5"/>
    <w:rsid w:val="00EA48D0"/>
    <w:rsid w:val="00EA5710"/>
    <w:rsid w:val="00EA5CE0"/>
    <w:rsid w:val="00EA5E9E"/>
    <w:rsid w:val="00EA73A0"/>
    <w:rsid w:val="00EA7CF7"/>
    <w:rsid w:val="00EB0217"/>
    <w:rsid w:val="00EB11FB"/>
    <w:rsid w:val="00EB129B"/>
    <w:rsid w:val="00EB146C"/>
    <w:rsid w:val="00EB150F"/>
    <w:rsid w:val="00EB2274"/>
    <w:rsid w:val="00EB321D"/>
    <w:rsid w:val="00EB32E5"/>
    <w:rsid w:val="00EB3351"/>
    <w:rsid w:val="00EB3C02"/>
    <w:rsid w:val="00EB3CFF"/>
    <w:rsid w:val="00EB3EB0"/>
    <w:rsid w:val="00EB3EF2"/>
    <w:rsid w:val="00EB41DB"/>
    <w:rsid w:val="00EB4814"/>
    <w:rsid w:val="00EB48A0"/>
    <w:rsid w:val="00EB5606"/>
    <w:rsid w:val="00EB5A11"/>
    <w:rsid w:val="00EB6255"/>
    <w:rsid w:val="00EB6708"/>
    <w:rsid w:val="00EB6C91"/>
    <w:rsid w:val="00EB6CF4"/>
    <w:rsid w:val="00EB7399"/>
    <w:rsid w:val="00EB7409"/>
    <w:rsid w:val="00EB7FD5"/>
    <w:rsid w:val="00EC0577"/>
    <w:rsid w:val="00EC05B2"/>
    <w:rsid w:val="00EC0D17"/>
    <w:rsid w:val="00EC15EC"/>
    <w:rsid w:val="00EC1B4E"/>
    <w:rsid w:val="00EC1CE8"/>
    <w:rsid w:val="00EC2068"/>
    <w:rsid w:val="00EC2604"/>
    <w:rsid w:val="00EC2A19"/>
    <w:rsid w:val="00EC2FE5"/>
    <w:rsid w:val="00EC3262"/>
    <w:rsid w:val="00EC38B6"/>
    <w:rsid w:val="00EC3B4D"/>
    <w:rsid w:val="00EC3F37"/>
    <w:rsid w:val="00EC3F94"/>
    <w:rsid w:val="00EC3FBD"/>
    <w:rsid w:val="00EC4050"/>
    <w:rsid w:val="00EC4411"/>
    <w:rsid w:val="00EC450C"/>
    <w:rsid w:val="00EC45D7"/>
    <w:rsid w:val="00EC485B"/>
    <w:rsid w:val="00EC4C6A"/>
    <w:rsid w:val="00EC4E1E"/>
    <w:rsid w:val="00EC5735"/>
    <w:rsid w:val="00EC57C0"/>
    <w:rsid w:val="00EC585D"/>
    <w:rsid w:val="00EC5F7B"/>
    <w:rsid w:val="00EC6F87"/>
    <w:rsid w:val="00EC72B1"/>
    <w:rsid w:val="00ED0174"/>
    <w:rsid w:val="00ED10B4"/>
    <w:rsid w:val="00ED146E"/>
    <w:rsid w:val="00ED1B33"/>
    <w:rsid w:val="00ED1D03"/>
    <w:rsid w:val="00ED1E24"/>
    <w:rsid w:val="00ED22B3"/>
    <w:rsid w:val="00ED22B5"/>
    <w:rsid w:val="00ED3876"/>
    <w:rsid w:val="00ED38A1"/>
    <w:rsid w:val="00ED3AA4"/>
    <w:rsid w:val="00ED3D86"/>
    <w:rsid w:val="00ED3F9F"/>
    <w:rsid w:val="00ED4514"/>
    <w:rsid w:val="00ED4CF0"/>
    <w:rsid w:val="00ED517B"/>
    <w:rsid w:val="00ED5676"/>
    <w:rsid w:val="00ED5AD0"/>
    <w:rsid w:val="00ED5DA6"/>
    <w:rsid w:val="00ED6EEC"/>
    <w:rsid w:val="00ED740C"/>
    <w:rsid w:val="00ED7A6C"/>
    <w:rsid w:val="00EE0321"/>
    <w:rsid w:val="00EE052B"/>
    <w:rsid w:val="00EE0C11"/>
    <w:rsid w:val="00EE0D6A"/>
    <w:rsid w:val="00EE0F8E"/>
    <w:rsid w:val="00EE1429"/>
    <w:rsid w:val="00EE2782"/>
    <w:rsid w:val="00EE338F"/>
    <w:rsid w:val="00EE3DDE"/>
    <w:rsid w:val="00EE3E0C"/>
    <w:rsid w:val="00EE439B"/>
    <w:rsid w:val="00EE49F6"/>
    <w:rsid w:val="00EE5043"/>
    <w:rsid w:val="00EE50AB"/>
    <w:rsid w:val="00EE51E7"/>
    <w:rsid w:val="00EE5322"/>
    <w:rsid w:val="00EE5664"/>
    <w:rsid w:val="00EE59FD"/>
    <w:rsid w:val="00EE5B57"/>
    <w:rsid w:val="00EE5F87"/>
    <w:rsid w:val="00EE6586"/>
    <w:rsid w:val="00EE67FB"/>
    <w:rsid w:val="00EE680B"/>
    <w:rsid w:val="00EE6BC1"/>
    <w:rsid w:val="00EE6E62"/>
    <w:rsid w:val="00EE7365"/>
    <w:rsid w:val="00EE7384"/>
    <w:rsid w:val="00EE7ADF"/>
    <w:rsid w:val="00EF010E"/>
    <w:rsid w:val="00EF0261"/>
    <w:rsid w:val="00EF06B4"/>
    <w:rsid w:val="00EF08D9"/>
    <w:rsid w:val="00EF08F1"/>
    <w:rsid w:val="00EF0A0F"/>
    <w:rsid w:val="00EF14FE"/>
    <w:rsid w:val="00EF1567"/>
    <w:rsid w:val="00EF163A"/>
    <w:rsid w:val="00EF193A"/>
    <w:rsid w:val="00EF21E6"/>
    <w:rsid w:val="00EF254B"/>
    <w:rsid w:val="00EF339A"/>
    <w:rsid w:val="00EF4490"/>
    <w:rsid w:val="00EF4E3B"/>
    <w:rsid w:val="00EF5327"/>
    <w:rsid w:val="00EF568B"/>
    <w:rsid w:val="00EF5F62"/>
    <w:rsid w:val="00EF6534"/>
    <w:rsid w:val="00EF7040"/>
    <w:rsid w:val="00EF709B"/>
    <w:rsid w:val="00EF7976"/>
    <w:rsid w:val="00F00240"/>
    <w:rsid w:val="00F0101D"/>
    <w:rsid w:val="00F010FB"/>
    <w:rsid w:val="00F01870"/>
    <w:rsid w:val="00F022D3"/>
    <w:rsid w:val="00F02678"/>
    <w:rsid w:val="00F0281D"/>
    <w:rsid w:val="00F02D2C"/>
    <w:rsid w:val="00F0386F"/>
    <w:rsid w:val="00F03A29"/>
    <w:rsid w:val="00F0472C"/>
    <w:rsid w:val="00F04B8E"/>
    <w:rsid w:val="00F04D5B"/>
    <w:rsid w:val="00F04ECC"/>
    <w:rsid w:val="00F05431"/>
    <w:rsid w:val="00F05B66"/>
    <w:rsid w:val="00F0618E"/>
    <w:rsid w:val="00F06872"/>
    <w:rsid w:val="00F06DD2"/>
    <w:rsid w:val="00F06F37"/>
    <w:rsid w:val="00F06F88"/>
    <w:rsid w:val="00F07CBB"/>
    <w:rsid w:val="00F10125"/>
    <w:rsid w:val="00F1094F"/>
    <w:rsid w:val="00F11BB1"/>
    <w:rsid w:val="00F11CE8"/>
    <w:rsid w:val="00F120E6"/>
    <w:rsid w:val="00F12DB0"/>
    <w:rsid w:val="00F12DD3"/>
    <w:rsid w:val="00F130D2"/>
    <w:rsid w:val="00F13255"/>
    <w:rsid w:val="00F135AD"/>
    <w:rsid w:val="00F13998"/>
    <w:rsid w:val="00F145AA"/>
    <w:rsid w:val="00F151AC"/>
    <w:rsid w:val="00F159F5"/>
    <w:rsid w:val="00F15EC1"/>
    <w:rsid w:val="00F205A2"/>
    <w:rsid w:val="00F20886"/>
    <w:rsid w:val="00F20AD3"/>
    <w:rsid w:val="00F21149"/>
    <w:rsid w:val="00F219C5"/>
    <w:rsid w:val="00F2233D"/>
    <w:rsid w:val="00F2326B"/>
    <w:rsid w:val="00F23A90"/>
    <w:rsid w:val="00F2410B"/>
    <w:rsid w:val="00F24440"/>
    <w:rsid w:val="00F24A62"/>
    <w:rsid w:val="00F24E7C"/>
    <w:rsid w:val="00F25132"/>
    <w:rsid w:val="00F2533C"/>
    <w:rsid w:val="00F25AA4"/>
    <w:rsid w:val="00F25EEA"/>
    <w:rsid w:val="00F25FB5"/>
    <w:rsid w:val="00F261BB"/>
    <w:rsid w:val="00F26B05"/>
    <w:rsid w:val="00F2732D"/>
    <w:rsid w:val="00F2743B"/>
    <w:rsid w:val="00F277E6"/>
    <w:rsid w:val="00F278B8"/>
    <w:rsid w:val="00F3071D"/>
    <w:rsid w:val="00F308FF"/>
    <w:rsid w:val="00F30EAF"/>
    <w:rsid w:val="00F30FE5"/>
    <w:rsid w:val="00F31DD7"/>
    <w:rsid w:val="00F32F73"/>
    <w:rsid w:val="00F3323A"/>
    <w:rsid w:val="00F33747"/>
    <w:rsid w:val="00F33843"/>
    <w:rsid w:val="00F3431C"/>
    <w:rsid w:val="00F34AF9"/>
    <w:rsid w:val="00F3512C"/>
    <w:rsid w:val="00F3529E"/>
    <w:rsid w:val="00F35DBE"/>
    <w:rsid w:val="00F35FC0"/>
    <w:rsid w:val="00F3620A"/>
    <w:rsid w:val="00F3620C"/>
    <w:rsid w:val="00F36389"/>
    <w:rsid w:val="00F368FC"/>
    <w:rsid w:val="00F36ABF"/>
    <w:rsid w:val="00F36CE2"/>
    <w:rsid w:val="00F36D48"/>
    <w:rsid w:val="00F37F7C"/>
    <w:rsid w:val="00F4020E"/>
    <w:rsid w:val="00F40905"/>
    <w:rsid w:val="00F40ED5"/>
    <w:rsid w:val="00F40FA5"/>
    <w:rsid w:val="00F410AE"/>
    <w:rsid w:val="00F41707"/>
    <w:rsid w:val="00F4193E"/>
    <w:rsid w:val="00F41FCD"/>
    <w:rsid w:val="00F42351"/>
    <w:rsid w:val="00F42806"/>
    <w:rsid w:val="00F432ED"/>
    <w:rsid w:val="00F436D0"/>
    <w:rsid w:val="00F438FD"/>
    <w:rsid w:val="00F43B9A"/>
    <w:rsid w:val="00F441A0"/>
    <w:rsid w:val="00F4491F"/>
    <w:rsid w:val="00F45231"/>
    <w:rsid w:val="00F456A1"/>
    <w:rsid w:val="00F46668"/>
    <w:rsid w:val="00F4667D"/>
    <w:rsid w:val="00F466A2"/>
    <w:rsid w:val="00F470AE"/>
    <w:rsid w:val="00F47316"/>
    <w:rsid w:val="00F47A01"/>
    <w:rsid w:val="00F47D11"/>
    <w:rsid w:val="00F50450"/>
    <w:rsid w:val="00F5096D"/>
    <w:rsid w:val="00F50A2E"/>
    <w:rsid w:val="00F50D50"/>
    <w:rsid w:val="00F50E86"/>
    <w:rsid w:val="00F51A15"/>
    <w:rsid w:val="00F51AB0"/>
    <w:rsid w:val="00F52445"/>
    <w:rsid w:val="00F5304B"/>
    <w:rsid w:val="00F53252"/>
    <w:rsid w:val="00F53561"/>
    <w:rsid w:val="00F53967"/>
    <w:rsid w:val="00F54B43"/>
    <w:rsid w:val="00F54BEC"/>
    <w:rsid w:val="00F54D18"/>
    <w:rsid w:val="00F54F51"/>
    <w:rsid w:val="00F5549E"/>
    <w:rsid w:val="00F55798"/>
    <w:rsid w:val="00F5594B"/>
    <w:rsid w:val="00F56CA8"/>
    <w:rsid w:val="00F56D8C"/>
    <w:rsid w:val="00F572EF"/>
    <w:rsid w:val="00F574CE"/>
    <w:rsid w:val="00F57832"/>
    <w:rsid w:val="00F57AFA"/>
    <w:rsid w:val="00F60B58"/>
    <w:rsid w:val="00F613EE"/>
    <w:rsid w:val="00F62B41"/>
    <w:rsid w:val="00F62B73"/>
    <w:rsid w:val="00F62CA6"/>
    <w:rsid w:val="00F631AA"/>
    <w:rsid w:val="00F632D2"/>
    <w:rsid w:val="00F64994"/>
    <w:rsid w:val="00F64F01"/>
    <w:rsid w:val="00F654F5"/>
    <w:rsid w:val="00F65F9E"/>
    <w:rsid w:val="00F66507"/>
    <w:rsid w:val="00F6658C"/>
    <w:rsid w:val="00F66EC0"/>
    <w:rsid w:val="00F67492"/>
    <w:rsid w:val="00F674BA"/>
    <w:rsid w:val="00F677DC"/>
    <w:rsid w:val="00F67C35"/>
    <w:rsid w:val="00F67C67"/>
    <w:rsid w:val="00F70819"/>
    <w:rsid w:val="00F70BAA"/>
    <w:rsid w:val="00F71A93"/>
    <w:rsid w:val="00F72035"/>
    <w:rsid w:val="00F721A7"/>
    <w:rsid w:val="00F725BB"/>
    <w:rsid w:val="00F727F1"/>
    <w:rsid w:val="00F72DD5"/>
    <w:rsid w:val="00F74556"/>
    <w:rsid w:val="00F74894"/>
    <w:rsid w:val="00F74A90"/>
    <w:rsid w:val="00F752FE"/>
    <w:rsid w:val="00F753C2"/>
    <w:rsid w:val="00F7564B"/>
    <w:rsid w:val="00F756F1"/>
    <w:rsid w:val="00F75B23"/>
    <w:rsid w:val="00F75C71"/>
    <w:rsid w:val="00F75DF2"/>
    <w:rsid w:val="00F765C1"/>
    <w:rsid w:val="00F76AD0"/>
    <w:rsid w:val="00F76BFD"/>
    <w:rsid w:val="00F77C96"/>
    <w:rsid w:val="00F8012F"/>
    <w:rsid w:val="00F80D64"/>
    <w:rsid w:val="00F81633"/>
    <w:rsid w:val="00F81C35"/>
    <w:rsid w:val="00F81C77"/>
    <w:rsid w:val="00F823A7"/>
    <w:rsid w:val="00F830E9"/>
    <w:rsid w:val="00F8371B"/>
    <w:rsid w:val="00F84111"/>
    <w:rsid w:val="00F84307"/>
    <w:rsid w:val="00F84530"/>
    <w:rsid w:val="00F85422"/>
    <w:rsid w:val="00F855BF"/>
    <w:rsid w:val="00F85B88"/>
    <w:rsid w:val="00F86691"/>
    <w:rsid w:val="00F86A35"/>
    <w:rsid w:val="00F86AA8"/>
    <w:rsid w:val="00F86ABF"/>
    <w:rsid w:val="00F86CF3"/>
    <w:rsid w:val="00F87004"/>
    <w:rsid w:val="00F87214"/>
    <w:rsid w:val="00F87716"/>
    <w:rsid w:val="00F877BA"/>
    <w:rsid w:val="00F878F8"/>
    <w:rsid w:val="00F87A01"/>
    <w:rsid w:val="00F87FBE"/>
    <w:rsid w:val="00F91BAE"/>
    <w:rsid w:val="00F924D5"/>
    <w:rsid w:val="00F92B7E"/>
    <w:rsid w:val="00F92BFB"/>
    <w:rsid w:val="00F92DDA"/>
    <w:rsid w:val="00F93363"/>
    <w:rsid w:val="00F93EC6"/>
    <w:rsid w:val="00F94182"/>
    <w:rsid w:val="00F94EB8"/>
    <w:rsid w:val="00F95623"/>
    <w:rsid w:val="00F9574A"/>
    <w:rsid w:val="00F966C4"/>
    <w:rsid w:val="00F96D29"/>
    <w:rsid w:val="00F96EB9"/>
    <w:rsid w:val="00F9717C"/>
    <w:rsid w:val="00F9735B"/>
    <w:rsid w:val="00FA01AA"/>
    <w:rsid w:val="00FA083D"/>
    <w:rsid w:val="00FA0AF1"/>
    <w:rsid w:val="00FA0DDD"/>
    <w:rsid w:val="00FA0EDE"/>
    <w:rsid w:val="00FA1414"/>
    <w:rsid w:val="00FA16FA"/>
    <w:rsid w:val="00FA189F"/>
    <w:rsid w:val="00FA1919"/>
    <w:rsid w:val="00FA21AA"/>
    <w:rsid w:val="00FA2226"/>
    <w:rsid w:val="00FA2357"/>
    <w:rsid w:val="00FA284B"/>
    <w:rsid w:val="00FA2F8C"/>
    <w:rsid w:val="00FA35AC"/>
    <w:rsid w:val="00FA366E"/>
    <w:rsid w:val="00FA38A4"/>
    <w:rsid w:val="00FA399E"/>
    <w:rsid w:val="00FA3A9C"/>
    <w:rsid w:val="00FA4063"/>
    <w:rsid w:val="00FA40C9"/>
    <w:rsid w:val="00FA49C8"/>
    <w:rsid w:val="00FA53C5"/>
    <w:rsid w:val="00FA5CE3"/>
    <w:rsid w:val="00FA64DE"/>
    <w:rsid w:val="00FA6D2E"/>
    <w:rsid w:val="00FA709B"/>
    <w:rsid w:val="00FA7703"/>
    <w:rsid w:val="00FA7C9E"/>
    <w:rsid w:val="00FA7E6B"/>
    <w:rsid w:val="00FB0237"/>
    <w:rsid w:val="00FB066D"/>
    <w:rsid w:val="00FB09D9"/>
    <w:rsid w:val="00FB1C99"/>
    <w:rsid w:val="00FB1CA7"/>
    <w:rsid w:val="00FB1FA6"/>
    <w:rsid w:val="00FB254D"/>
    <w:rsid w:val="00FB26E3"/>
    <w:rsid w:val="00FB283D"/>
    <w:rsid w:val="00FB2D90"/>
    <w:rsid w:val="00FB32E9"/>
    <w:rsid w:val="00FB35C4"/>
    <w:rsid w:val="00FB36FB"/>
    <w:rsid w:val="00FB38E1"/>
    <w:rsid w:val="00FB3AE1"/>
    <w:rsid w:val="00FB450A"/>
    <w:rsid w:val="00FB4A72"/>
    <w:rsid w:val="00FB591F"/>
    <w:rsid w:val="00FB5DDF"/>
    <w:rsid w:val="00FB5EBB"/>
    <w:rsid w:val="00FB6458"/>
    <w:rsid w:val="00FB6A2C"/>
    <w:rsid w:val="00FB71A4"/>
    <w:rsid w:val="00FB7363"/>
    <w:rsid w:val="00FB74C1"/>
    <w:rsid w:val="00FB7C92"/>
    <w:rsid w:val="00FC116E"/>
    <w:rsid w:val="00FC17A3"/>
    <w:rsid w:val="00FC24F7"/>
    <w:rsid w:val="00FC3230"/>
    <w:rsid w:val="00FC359D"/>
    <w:rsid w:val="00FC38E3"/>
    <w:rsid w:val="00FC4217"/>
    <w:rsid w:val="00FC5560"/>
    <w:rsid w:val="00FC6279"/>
    <w:rsid w:val="00FC680E"/>
    <w:rsid w:val="00FC6B55"/>
    <w:rsid w:val="00FC6D2F"/>
    <w:rsid w:val="00FC6FED"/>
    <w:rsid w:val="00FD031B"/>
    <w:rsid w:val="00FD0393"/>
    <w:rsid w:val="00FD0BF9"/>
    <w:rsid w:val="00FD0D9E"/>
    <w:rsid w:val="00FD1045"/>
    <w:rsid w:val="00FD1826"/>
    <w:rsid w:val="00FD1927"/>
    <w:rsid w:val="00FD2E03"/>
    <w:rsid w:val="00FD33B3"/>
    <w:rsid w:val="00FD397D"/>
    <w:rsid w:val="00FD4218"/>
    <w:rsid w:val="00FD4465"/>
    <w:rsid w:val="00FD4D81"/>
    <w:rsid w:val="00FD5299"/>
    <w:rsid w:val="00FD557E"/>
    <w:rsid w:val="00FD5ABF"/>
    <w:rsid w:val="00FD5B13"/>
    <w:rsid w:val="00FD5C80"/>
    <w:rsid w:val="00FD5D39"/>
    <w:rsid w:val="00FD69C0"/>
    <w:rsid w:val="00FD6AE6"/>
    <w:rsid w:val="00FD729D"/>
    <w:rsid w:val="00FD7EBA"/>
    <w:rsid w:val="00FE043C"/>
    <w:rsid w:val="00FE0D77"/>
    <w:rsid w:val="00FE12D0"/>
    <w:rsid w:val="00FE13E7"/>
    <w:rsid w:val="00FE2E1C"/>
    <w:rsid w:val="00FE2F79"/>
    <w:rsid w:val="00FE327B"/>
    <w:rsid w:val="00FE35A8"/>
    <w:rsid w:val="00FE3732"/>
    <w:rsid w:val="00FE3BF9"/>
    <w:rsid w:val="00FE3CC0"/>
    <w:rsid w:val="00FE4A24"/>
    <w:rsid w:val="00FE4B37"/>
    <w:rsid w:val="00FE4D20"/>
    <w:rsid w:val="00FE4D68"/>
    <w:rsid w:val="00FE537D"/>
    <w:rsid w:val="00FE5469"/>
    <w:rsid w:val="00FE5494"/>
    <w:rsid w:val="00FE5779"/>
    <w:rsid w:val="00FE59BC"/>
    <w:rsid w:val="00FE5C19"/>
    <w:rsid w:val="00FE62A5"/>
    <w:rsid w:val="00FE6B54"/>
    <w:rsid w:val="00FE6BD4"/>
    <w:rsid w:val="00FE7211"/>
    <w:rsid w:val="00FE7632"/>
    <w:rsid w:val="00FF009E"/>
    <w:rsid w:val="00FF023D"/>
    <w:rsid w:val="00FF03D7"/>
    <w:rsid w:val="00FF105A"/>
    <w:rsid w:val="00FF1390"/>
    <w:rsid w:val="00FF23B4"/>
    <w:rsid w:val="00FF2B88"/>
    <w:rsid w:val="00FF2CFB"/>
    <w:rsid w:val="00FF31C9"/>
    <w:rsid w:val="00FF39D4"/>
    <w:rsid w:val="00FF46DE"/>
    <w:rsid w:val="00FF4D4D"/>
    <w:rsid w:val="00FF53D3"/>
    <w:rsid w:val="00FF5758"/>
    <w:rsid w:val="00FF5A42"/>
    <w:rsid w:val="00FF6145"/>
    <w:rsid w:val="00FF61AC"/>
    <w:rsid w:val="00FF7419"/>
    <w:rsid w:val="01603790"/>
    <w:rsid w:val="017B4E2A"/>
    <w:rsid w:val="017DC8C9"/>
    <w:rsid w:val="018B7042"/>
    <w:rsid w:val="01DAC8CD"/>
    <w:rsid w:val="02234F5F"/>
    <w:rsid w:val="02246B0F"/>
    <w:rsid w:val="02315B74"/>
    <w:rsid w:val="026624A8"/>
    <w:rsid w:val="02839A8B"/>
    <w:rsid w:val="02A905A8"/>
    <w:rsid w:val="02AC6689"/>
    <w:rsid w:val="02B6107B"/>
    <w:rsid w:val="02C173E9"/>
    <w:rsid w:val="02C2D9AE"/>
    <w:rsid w:val="02D445FF"/>
    <w:rsid w:val="033DC0D9"/>
    <w:rsid w:val="03628507"/>
    <w:rsid w:val="03B6282E"/>
    <w:rsid w:val="03C772D0"/>
    <w:rsid w:val="03CE6918"/>
    <w:rsid w:val="0427E1B7"/>
    <w:rsid w:val="043B9990"/>
    <w:rsid w:val="0445A8B8"/>
    <w:rsid w:val="045B928A"/>
    <w:rsid w:val="0467C9E4"/>
    <w:rsid w:val="04CD6841"/>
    <w:rsid w:val="04CDACF0"/>
    <w:rsid w:val="04D2D364"/>
    <w:rsid w:val="04E3A1D0"/>
    <w:rsid w:val="04E5D3B9"/>
    <w:rsid w:val="04EAF40E"/>
    <w:rsid w:val="0531741A"/>
    <w:rsid w:val="0545F8A0"/>
    <w:rsid w:val="055D310B"/>
    <w:rsid w:val="056A1800"/>
    <w:rsid w:val="0585C548"/>
    <w:rsid w:val="05C5C33D"/>
    <w:rsid w:val="05DD2E59"/>
    <w:rsid w:val="05DD6598"/>
    <w:rsid w:val="06037011"/>
    <w:rsid w:val="0641372D"/>
    <w:rsid w:val="064A7A2E"/>
    <w:rsid w:val="065A0C19"/>
    <w:rsid w:val="066DBC1D"/>
    <w:rsid w:val="067AE581"/>
    <w:rsid w:val="07682EF7"/>
    <w:rsid w:val="07803084"/>
    <w:rsid w:val="07A0B1FB"/>
    <w:rsid w:val="07CCB3DF"/>
    <w:rsid w:val="07CD4294"/>
    <w:rsid w:val="0802C763"/>
    <w:rsid w:val="08040B5D"/>
    <w:rsid w:val="081CF5C5"/>
    <w:rsid w:val="08436F00"/>
    <w:rsid w:val="084EC5F0"/>
    <w:rsid w:val="087DD5CB"/>
    <w:rsid w:val="08927063"/>
    <w:rsid w:val="08A3A46E"/>
    <w:rsid w:val="08CB58C5"/>
    <w:rsid w:val="08DA3CC6"/>
    <w:rsid w:val="08F0A15B"/>
    <w:rsid w:val="08F7592B"/>
    <w:rsid w:val="0916D47B"/>
    <w:rsid w:val="092F02CC"/>
    <w:rsid w:val="0932B424"/>
    <w:rsid w:val="0959D86C"/>
    <w:rsid w:val="09B3CC38"/>
    <w:rsid w:val="0A1C8A10"/>
    <w:rsid w:val="0A387392"/>
    <w:rsid w:val="0A50C5E9"/>
    <w:rsid w:val="0A652A7B"/>
    <w:rsid w:val="0A8428AF"/>
    <w:rsid w:val="0A8FBDDE"/>
    <w:rsid w:val="0ACD2768"/>
    <w:rsid w:val="0B4F1EE2"/>
    <w:rsid w:val="0B58C3C9"/>
    <w:rsid w:val="0B617B9A"/>
    <w:rsid w:val="0B89269C"/>
    <w:rsid w:val="0BD24A00"/>
    <w:rsid w:val="0BD757BA"/>
    <w:rsid w:val="0BFB93DD"/>
    <w:rsid w:val="0C18AF28"/>
    <w:rsid w:val="0C1E6BDD"/>
    <w:rsid w:val="0C206856"/>
    <w:rsid w:val="0C29710E"/>
    <w:rsid w:val="0C69B6A4"/>
    <w:rsid w:val="0C7D5E0B"/>
    <w:rsid w:val="0C9C978E"/>
    <w:rsid w:val="0CADF845"/>
    <w:rsid w:val="0CC797F6"/>
    <w:rsid w:val="0CCC5221"/>
    <w:rsid w:val="0CD46C67"/>
    <w:rsid w:val="0CD5CCC5"/>
    <w:rsid w:val="0CD78FAD"/>
    <w:rsid w:val="0D18BC9E"/>
    <w:rsid w:val="0D2D6877"/>
    <w:rsid w:val="0D481833"/>
    <w:rsid w:val="0D7E16B3"/>
    <w:rsid w:val="0D81B88D"/>
    <w:rsid w:val="0D8AC062"/>
    <w:rsid w:val="0DA0B6B7"/>
    <w:rsid w:val="0DF3AC35"/>
    <w:rsid w:val="0E2A5172"/>
    <w:rsid w:val="0E2D4A1C"/>
    <w:rsid w:val="0E392171"/>
    <w:rsid w:val="0E3D7C3C"/>
    <w:rsid w:val="0E3F0FD0"/>
    <w:rsid w:val="0E7979AE"/>
    <w:rsid w:val="0E7B2D20"/>
    <w:rsid w:val="0ED6196E"/>
    <w:rsid w:val="0EF75F38"/>
    <w:rsid w:val="0F11C6E7"/>
    <w:rsid w:val="0F7AAA76"/>
    <w:rsid w:val="0FFB4A14"/>
    <w:rsid w:val="1003DB30"/>
    <w:rsid w:val="1013CD2C"/>
    <w:rsid w:val="1020869B"/>
    <w:rsid w:val="1020CFE4"/>
    <w:rsid w:val="10322BC3"/>
    <w:rsid w:val="106D7A92"/>
    <w:rsid w:val="10770757"/>
    <w:rsid w:val="107F23F3"/>
    <w:rsid w:val="108CE9D3"/>
    <w:rsid w:val="108F6327"/>
    <w:rsid w:val="10EB920B"/>
    <w:rsid w:val="11125395"/>
    <w:rsid w:val="1122E03A"/>
    <w:rsid w:val="113277FC"/>
    <w:rsid w:val="1168728D"/>
    <w:rsid w:val="116D6C90"/>
    <w:rsid w:val="118668D0"/>
    <w:rsid w:val="11A2680B"/>
    <w:rsid w:val="11A82663"/>
    <w:rsid w:val="11C59C9A"/>
    <w:rsid w:val="11FC5B9F"/>
    <w:rsid w:val="1212F1E5"/>
    <w:rsid w:val="122B56B0"/>
    <w:rsid w:val="1247373E"/>
    <w:rsid w:val="1274F23C"/>
    <w:rsid w:val="129A3F40"/>
    <w:rsid w:val="12C9118D"/>
    <w:rsid w:val="12E0AA70"/>
    <w:rsid w:val="13386C8C"/>
    <w:rsid w:val="138D34C2"/>
    <w:rsid w:val="13A5CA3D"/>
    <w:rsid w:val="13AF9B71"/>
    <w:rsid w:val="13D7B7A2"/>
    <w:rsid w:val="13D7D15F"/>
    <w:rsid w:val="13DEC433"/>
    <w:rsid w:val="13F4A51E"/>
    <w:rsid w:val="143931D6"/>
    <w:rsid w:val="1456440C"/>
    <w:rsid w:val="14575430"/>
    <w:rsid w:val="1468DCDC"/>
    <w:rsid w:val="1476453A"/>
    <w:rsid w:val="14D4D783"/>
    <w:rsid w:val="14D805BD"/>
    <w:rsid w:val="14F91549"/>
    <w:rsid w:val="14F9E015"/>
    <w:rsid w:val="14FA7A7C"/>
    <w:rsid w:val="1505B298"/>
    <w:rsid w:val="15097562"/>
    <w:rsid w:val="151382A9"/>
    <w:rsid w:val="15298161"/>
    <w:rsid w:val="15458474"/>
    <w:rsid w:val="15556A3A"/>
    <w:rsid w:val="15B68E0C"/>
    <w:rsid w:val="15C1A0AB"/>
    <w:rsid w:val="15DC58F5"/>
    <w:rsid w:val="15E18350"/>
    <w:rsid w:val="1620D5D9"/>
    <w:rsid w:val="16453ED6"/>
    <w:rsid w:val="1646B47A"/>
    <w:rsid w:val="167EAD60"/>
    <w:rsid w:val="1698168E"/>
    <w:rsid w:val="16B49357"/>
    <w:rsid w:val="16E063D9"/>
    <w:rsid w:val="170C65DE"/>
    <w:rsid w:val="173D0B9F"/>
    <w:rsid w:val="1744AC60"/>
    <w:rsid w:val="17721A59"/>
    <w:rsid w:val="177FE8F2"/>
    <w:rsid w:val="1783892A"/>
    <w:rsid w:val="178B2157"/>
    <w:rsid w:val="17909DB8"/>
    <w:rsid w:val="1791BAD2"/>
    <w:rsid w:val="17A37D6B"/>
    <w:rsid w:val="17AAE636"/>
    <w:rsid w:val="17C38B5B"/>
    <w:rsid w:val="17CCF70E"/>
    <w:rsid w:val="17D2D932"/>
    <w:rsid w:val="17DAD760"/>
    <w:rsid w:val="17E8246E"/>
    <w:rsid w:val="17FA2315"/>
    <w:rsid w:val="18355AB6"/>
    <w:rsid w:val="186BE926"/>
    <w:rsid w:val="1899C68E"/>
    <w:rsid w:val="18A49426"/>
    <w:rsid w:val="18A80477"/>
    <w:rsid w:val="18C5D1CF"/>
    <w:rsid w:val="18D348CE"/>
    <w:rsid w:val="18E77689"/>
    <w:rsid w:val="191EEB92"/>
    <w:rsid w:val="192C407D"/>
    <w:rsid w:val="19318253"/>
    <w:rsid w:val="1931F46D"/>
    <w:rsid w:val="1959926D"/>
    <w:rsid w:val="19670046"/>
    <w:rsid w:val="1991E21A"/>
    <w:rsid w:val="199354AC"/>
    <w:rsid w:val="19E970D5"/>
    <w:rsid w:val="1A02AB2E"/>
    <w:rsid w:val="1A23932A"/>
    <w:rsid w:val="1A392F71"/>
    <w:rsid w:val="1A5D4DD8"/>
    <w:rsid w:val="1A7F37EB"/>
    <w:rsid w:val="1A83ADD1"/>
    <w:rsid w:val="1AB71077"/>
    <w:rsid w:val="1AD7A3D6"/>
    <w:rsid w:val="1AE7D81E"/>
    <w:rsid w:val="1B0BBF5E"/>
    <w:rsid w:val="1B317906"/>
    <w:rsid w:val="1B689967"/>
    <w:rsid w:val="1B885CA3"/>
    <w:rsid w:val="1BE825D4"/>
    <w:rsid w:val="1BE8BACC"/>
    <w:rsid w:val="1C074685"/>
    <w:rsid w:val="1C07E39B"/>
    <w:rsid w:val="1C22F4E2"/>
    <w:rsid w:val="1C34AB57"/>
    <w:rsid w:val="1C53418D"/>
    <w:rsid w:val="1CAE3935"/>
    <w:rsid w:val="1CD0902B"/>
    <w:rsid w:val="1CDD3B6A"/>
    <w:rsid w:val="1D34C123"/>
    <w:rsid w:val="1D414213"/>
    <w:rsid w:val="1D5B8A08"/>
    <w:rsid w:val="1D5C76C0"/>
    <w:rsid w:val="1E355A4E"/>
    <w:rsid w:val="1E425759"/>
    <w:rsid w:val="1E46F3A9"/>
    <w:rsid w:val="1E558843"/>
    <w:rsid w:val="1E71A731"/>
    <w:rsid w:val="1E737D79"/>
    <w:rsid w:val="1E89BFE8"/>
    <w:rsid w:val="1E8DF2CC"/>
    <w:rsid w:val="1E9085D6"/>
    <w:rsid w:val="1E97E385"/>
    <w:rsid w:val="1E9CF229"/>
    <w:rsid w:val="1ECBA346"/>
    <w:rsid w:val="1ECF3F1A"/>
    <w:rsid w:val="1EDB0C7D"/>
    <w:rsid w:val="1F0A8BA7"/>
    <w:rsid w:val="1F4A99D6"/>
    <w:rsid w:val="1F6C2B4E"/>
    <w:rsid w:val="1F989770"/>
    <w:rsid w:val="1FA89119"/>
    <w:rsid w:val="1FD0D162"/>
    <w:rsid w:val="1FD432E8"/>
    <w:rsid w:val="1FF8618F"/>
    <w:rsid w:val="202D23B6"/>
    <w:rsid w:val="205E45EE"/>
    <w:rsid w:val="205FC159"/>
    <w:rsid w:val="206B0A86"/>
    <w:rsid w:val="20D7D68F"/>
    <w:rsid w:val="2107BEB8"/>
    <w:rsid w:val="212FAD19"/>
    <w:rsid w:val="2141D92B"/>
    <w:rsid w:val="216E4A2D"/>
    <w:rsid w:val="216FA5EE"/>
    <w:rsid w:val="2181A203"/>
    <w:rsid w:val="218EB97E"/>
    <w:rsid w:val="219249BE"/>
    <w:rsid w:val="21DA0F2D"/>
    <w:rsid w:val="2207F144"/>
    <w:rsid w:val="2219D659"/>
    <w:rsid w:val="229CD304"/>
    <w:rsid w:val="229D0A3E"/>
    <w:rsid w:val="22BFE383"/>
    <w:rsid w:val="22F8BEC3"/>
    <w:rsid w:val="22FB6308"/>
    <w:rsid w:val="230CDA5A"/>
    <w:rsid w:val="230F937A"/>
    <w:rsid w:val="231063BC"/>
    <w:rsid w:val="233029A1"/>
    <w:rsid w:val="2348972D"/>
    <w:rsid w:val="234F58B2"/>
    <w:rsid w:val="23651209"/>
    <w:rsid w:val="23AA92B6"/>
    <w:rsid w:val="23D1E4A9"/>
    <w:rsid w:val="241F41CD"/>
    <w:rsid w:val="243A6714"/>
    <w:rsid w:val="24440DDC"/>
    <w:rsid w:val="2448FAE4"/>
    <w:rsid w:val="2458AA76"/>
    <w:rsid w:val="245CDD11"/>
    <w:rsid w:val="24664308"/>
    <w:rsid w:val="246B4147"/>
    <w:rsid w:val="246C5204"/>
    <w:rsid w:val="249A1F8D"/>
    <w:rsid w:val="24A6E00A"/>
    <w:rsid w:val="24B8D173"/>
    <w:rsid w:val="251ACF5D"/>
    <w:rsid w:val="25775778"/>
    <w:rsid w:val="25C5714C"/>
    <w:rsid w:val="25DA0482"/>
    <w:rsid w:val="25ED9B93"/>
    <w:rsid w:val="25FE2EEA"/>
    <w:rsid w:val="2604F40B"/>
    <w:rsid w:val="260B7FDC"/>
    <w:rsid w:val="26182816"/>
    <w:rsid w:val="262AC30E"/>
    <w:rsid w:val="264ABCFA"/>
    <w:rsid w:val="265ADD1F"/>
    <w:rsid w:val="2665D9E3"/>
    <w:rsid w:val="267E8AE3"/>
    <w:rsid w:val="26D9B51F"/>
    <w:rsid w:val="26D9FAA5"/>
    <w:rsid w:val="2701C4B7"/>
    <w:rsid w:val="2715AED0"/>
    <w:rsid w:val="271D7EFA"/>
    <w:rsid w:val="271DBE17"/>
    <w:rsid w:val="2852836B"/>
    <w:rsid w:val="2856C493"/>
    <w:rsid w:val="2857D317"/>
    <w:rsid w:val="286E4CFE"/>
    <w:rsid w:val="287FDAB7"/>
    <w:rsid w:val="28924DEE"/>
    <w:rsid w:val="289AF188"/>
    <w:rsid w:val="28A0338E"/>
    <w:rsid w:val="28AC59EB"/>
    <w:rsid w:val="28B1EAE5"/>
    <w:rsid w:val="28B60DEF"/>
    <w:rsid w:val="28E7DC8A"/>
    <w:rsid w:val="28E8AF11"/>
    <w:rsid w:val="28F1EDD7"/>
    <w:rsid w:val="290E7255"/>
    <w:rsid w:val="293D41C0"/>
    <w:rsid w:val="294F596B"/>
    <w:rsid w:val="29529888"/>
    <w:rsid w:val="295A6F60"/>
    <w:rsid w:val="2982969B"/>
    <w:rsid w:val="2991E215"/>
    <w:rsid w:val="29CC7A03"/>
    <w:rsid w:val="29CD22A6"/>
    <w:rsid w:val="29D403E1"/>
    <w:rsid w:val="29FE777C"/>
    <w:rsid w:val="2A17A260"/>
    <w:rsid w:val="2A27F329"/>
    <w:rsid w:val="2A35231D"/>
    <w:rsid w:val="2A626D04"/>
    <w:rsid w:val="2A6E70A1"/>
    <w:rsid w:val="2A705CEB"/>
    <w:rsid w:val="2AD25DB3"/>
    <w:rsid w:val="2AE4FA5D"/>
    <w:rsid w:val="2B3D0362"/>
    <w:rsid w:val="2B76BC7B"/>
    <w:rsid w:val="2B775750"/>
    <w:rsid w:val="2B8BE167"/>
    <w:rsid w:val="2B9E7B27"/>
    <w:rsid w:val="2BB5EF0C"/>
    <w:rsid w:val="2BD1C390"/>
    <w:rsid w:val="2BD945F9"/>
    <w:rsid w:val="2BDE44EF"/>
    <w:rsid w:val="2C148F48"/>
    <w:rsid w:val="2C2551D8"/>
    <w:rsid w:val="2C26787D"/>
    <w:rsid w:val="2C330010"/>
    <w:rsid w:val="2C61DA89"/>
    <w:rsid w:val="2C6BACAA"/>
    <w:rsid w:val="2C89EB5F"/>
    <w:rsid w:val="2C943AB2"/>
    <w:rsid w:val="2CA4E590"/>
    <w:rsid w:val="2CC312E5"/>
    <w:rsid w:val="2CF181F4"/>
    <w:rsid w:val="2CF93C0E"/>
    <w:rsid w:val="2D0816FF"/>
    <w:rsid w:val="2D534912"/>
    <w:rsid w:val="2D594959"/>
    <w:rsid w:val="2D61D6B3"/>
    <w:rsid w:val="2D8298DE"/>
    <w:rsid w:val="2D87093C"/>
    <w:rsid w:val="2D8E6E36"/>
    <w:rsid w:val="2D901CE3"/>
    <w:rsid w:val="2DDA85C3"/>
    <w:rsid w:val="2DE51D81"/>
    <w:rsid w:val="2DFF221E"/>
    <w:rsid w:val="2E0ACCC3"/>
    <w:rsid w:val="2E1251F8"/>
    <w:rsid w:val="2E6C8B90"/>
    <w:rsid w:val="2E9688D8"/>
    <w:rsid w:val="2EDD1A80"/>
    <w:rsid w:val="2EE1FD5F"/>
    <w:rsid w:val="2F376D6B"/>
    <w:rsid w:val="2F379C48"/>
    <w:rsid w:val="2F53EAE1"/>
    <w:rsid w:val="2F9830DA"/>
    <w:rsid w:val="2FAA3D20"/>
    <w:rsid w:val="2FAEFB61"/>
    <w:rsid w:val="2FBAD5AF"/>
    <w:rsid w:val="2FD40B45"/>
    <w:rsid w:val="2FD528E4"/>
    <w:rsid w:val="30048E28"/>
    <w:rsid w:val="301358BE"/>
    <w:rsid w:val="30272B90"/>
    <w:rsid w:val="3042518B"/>
    <w:rsid w:val="30AF3B8C"/>
    <w:rsid w:val="30BDF5CE"/>
    <w:rsid w:val="30C552C2"/>
    <w:rsid w:val="30CBF63F"/>
    <w:rsid w:val="30E87952"/>
    <w:rsid w:val="3108E6E4"/>
    <w:rsid w:val="31208A4D"/>
    <w:rsid w:val="316EC35A"/>
    <w:rsid w:val="317B98C7"/>
    <w:rsid w:val="317F55DE"/>
    <w:rsid w:val="31D575C3"/>
    <w:rsid w:val="31D7BF61"/>
    <w:rsid w:val="32350436"/>
    <w:rsid w:val="32563911"/>
    <w:rsid w:val="326A7CC5"/>
    <w:rsid w:val="3283FA93"/>
    <w:rsid w:val="328F9DC6"/>
    <w:rsid w:val="329097AC"/>
    <w:rsid w:val="32A2DEFE"/>
    <w:rsid w:val="32B7585A"/>
    <w:rsid w:val="330E2D98"/>
    <w:rsid w:val="331188D7"/>
    <w:rsid w:val="33243A89"/>
    <w:rsid w:val="33350B66"/>
    <w:rsid w:val="3366F1CF"/>
    <w:rsid w:val="3372DF4B"/>
    <w:rsid w:val="338092E1"/>
    <w:rsid w:val="338AD38C"/>
    <w:rsid w:val="33BD032E"/>
    <w:rsid w:val="33DC4D47"/>
    <w:rsid w:val="33DC807D"/>
    <w:rsid w:val="33DDC293"/>
    <w:rsid w:val="343648A6"/>
    <w:rsid w:val="343F006B"/>
    <w:rsid w:val="3461979D"/>
    <w:rsid w:val="346D0A90"/>
    <w:rsid w:val="3472B044"/>
    <w:rsid w:val="348C0E97"/>
    <w:rsid w:val="34B9FA2D"/>
    <w:rsid w:val="34D64A54"/>
    <w:rsid w:val="34E8BA4B"/>
    <w:rsid w:val="34FA47A8"/>
    <w:rsid w:val="34FB9C90"/>
    <w:rsid w:val="34FBD541"/>
    <w:rsid w:val="34FD16E4"/>
    <w:rsid w:val="350000AD"/>
    <w:rsid w:val="35014026"/>
    <w:rsid w:val="3513CFAE"/>
    <w:rsid w:val="354084A9"/>
    <w:rsid w:val="35904C34"/>
    <w:rsid w:val="35C8C390"/>
    <w:rsid w:val="3637850C"/>
    <w:rsid w:val="368465E8"/>
    <w:rsid w:val="369161E5"/>
    <w:rsid w:val="36A02B87"/>
    <w:rsid w:val="36B56B92"/>
    <w:rsid w:val="36BBB33E"/>
    <w:rsid w:val="36CAC7A3"/>
    <w:rsid w:val="36E43C82"/>
    <w:rsid w:val="36EDC808"/>
    <w:rsid w:val="36FAFA22"/>
    <w:rsid w:val="371A9C96"/>
    <w:rsid w:val="37A1F887"/>
    <w:rsid w:val="37B226A8"/>
    <w:rsid w:val="37CEE784"/>
    <w:rsid w:val="3835B57E"/>
    <w:rsid w:val="3836829D"/>
    <w:rsid w:val="38476306"/>
    <w:rsid w:val="385646B6"/>
    <w:rsid w:val="389C9334"/>
    <w:rsid w:val="38A818F2"/>
    <w:rsid w:val="38B83434"/>
    <w:rsid w:val="38E6F39C"/>
    <w:rsid w:val="38F94380"/>
    <w:rsid w:val="393D56BF"/>
    <w:rsid w:val="393F4A0E"/>
    <w:rsid w:val="39684B7B"/>
    <w:rsid w:val="39C23E06"/>
    <w:rsid w:val="39E2C042"/>
    <w:rsid w:val="3A170DE1"/>
    <w:rsid w:val="3A1A084A"/>
    <w:rsid w:val="3A8C6AF7"/>
    <w:rsid w:val="3AB572AE"/>
    <w:rsid w:val="3AC92C34"/>
    <w:rsid w:val="3AD47612"/>
    <w:rsid w:val="3AD49869"/>
    <w:rsid w:val="3B09895A"/>
    <w:rsid w:val="3B28A090"/>
    <w:rsid w:val="3B33587B"/>
    <w:rsid w:val="3B49B86C"/>
    <w:rsid w:val="3B7822FC"/>
    <w:rsid w:val="3B7EA237"/>
    <w:rsid w:val="3B8BD1A0"/>
    <w:rsid w:val="3BC8660D"/>
    <w:rsid w:val="3BCA6D0D"/>
    <w:rsid w:val="3BCB4B61"/>
    <w:rsid w:val="3BCBF7F8"/>
    <w:rsid w:val="3BDF7688"/>
    <w:rsid w:val="3C1B2E39"/>
    <w:rsid w:val="3C1BBEE3"/>
    <w:rsid w:val="3C1C5886"/>
    <w:rsid w:val="3C4121BD"/>
    <w:rsid w:val="3C4FC5DF"/>
    <w:rsid w:val="3C614D05"/>
    <w:rsid w:val="3CBE6705"/>
    <w:rsid w:val="3CD0089C"/>
    <w:rsid w:val="3D1D3D2A"/>
    <w:rsid w:val="3D251CF4"/>
    <w:rsid w:val="3D28B33B"/>
    <w:rsid w:val="3D2E3BF7"/>
    <w:rsid w:val="3D397A4D"/>
    <w:rsid w:val="3D67713E"/>
    <w:rsid w:val="3D6B3BE6"/>
    <w:rsid w:val="3D7500F5"/>
    <w:rsid w:val="3D7C0C9F"/>
    <w:rsid w:val="3D8DAD80"/>
    <w:rsid w:val="3D9E91D2"/>
    <w:rsid w:val="3DAD1B27"/>
    <w:rsid w:val="3DB95ADC"/>
    <w:rsid w:val="3DDBD68A"/>
    <w:rsid w:val="3DF09BC2"/>
    <w:rsid w:val="3DF6AE15"/>
    <w:rsid w:val="3DF7D700"/>
    <w:rsid w:val="3E1F6DFD"/>
    <w:rsid w:val="3E5D8C76"/>
    <w:rsid w:val="3E70F708"/>
    <w:rsid w:val="3E9A1E92"/>
    <w:rsid w:val="3E9E72F1"/>
    <w:rsid w:val="3EBE9DCE"/>
    <w:rsid w:val="3EF6EFA5"/>
    <w:rsid w:val="3F23270B"/>
    <w:rsid w:val="3F2FBDF9"/>
    <w:rsid w:val="3F53218F"/>
    <w:rsid w:val="3F5A6676"/>
    <w:rsid w:val="3F7D3C21"/>
    <w:rsid w:val="3F8481F4"/>
    <w:rsid w:val="3F992911"/>
    <w:rsid w:val="3FB3DB51"/>
    <w:rsid w:val="3FE19854"/>
    <w:rsid w:val="3FE8B563"/>
    <w:rsid w:val="3FEEFE51"/>
    <w:rsid w:val="4003E568"/>
    <w:rsid w:val="402E927B"/>
    <w:rsid w:val="40386607"/>
    <w:rsid w:val="4047BC64"/>
    <w:rsid w:val="407BC584"/>
    <w:rsid w:val="40801D4B"/>
    <w:rsid w:val="409F3E7F"/>
    <w:rsid w:val="40ADF06B"/>
    <w:rsid w:val="40AFD0E1"/>
    <w:rsid w:val="40DB852D"/>
    <w:rsid w:val="40E82C32"/>
    <w:rsid w:val="40EF637A"/>
    <w:rsid w:val="41110C09"/>
    <w:rsid w:val="411D9B1F"/>
    <w:rsid w:val="4166C31F"/>
    <w:rsid w:val="4199E6F3"/>
    <w:rsid w:val="41A1E25C"/>
    <w:rsid w:val="41C1C32C"/>
    <w:rsid w:val="41E4133D"/>
    <w:rsid w:val="41F33D03"/>
    <w:rsid w:val="4206411A"/>
    <w:rsid w:val="42289E3C"/>
    <w:rsid w:val="423406AE"/>
    <w:rsid w:val="426D4739"/>
    <w:rsid w:val="427295F6"/>
    <w:rsid w:val="42949C2E"/>
    <w:rsid w:val="4294A39B"/>
    <w:rsid w:val="429CA47D"/>
    <w:rsid w:val="42AE23E1"/>
    <w:rsid w:val="42C60189"/>
    <w:rsid w:val="42C87841"/>
    <w:rsid w:val="42E36DE3"/>
    <w:rsid w:val="42EC67CF"/>
    <w:rsid w:val="432DD8CE"/>
    <w:rsid w:val="4336104B"/>
    <w:rsid w:val="435520D6"/>
    <w:rsid w:val="4357CCD2"/>
    <w:rsid w:val="435F3AA0"/>
    <w:rsid w:val="43661438"/>
    <w:rsid w:val="43796D2E"/>
    <w:rsid w:val="43C964A5"/>
    <w:rsid w:val="43CF94E5"/>
    <w:rsid w:val="43D33B63"/>
    <w:rsid w:val="43D7ABED"/>
    <w:rsid w:val="43EC0700"/>
    <w:rsid w:val="441F9BD9"/>
    <w:rsid w:val="442A2646"/>
    <w:rsid w:val="442D5584"/>
    <w:rsid w:val="4461552D"/>
    <w:rsid w:val="4467E79A"/>
    <w:rsid w:val="448A451F"/>
    <w:rsid w:val="4497BCF1"/>
    <w:rsid w:val="44A38E7E"/>
    <w:rsid w:val="44C62631"/>
    <w:rsid w:val="44C8470E"/>
    <w:rsid w:val="44D2009C"/>
    <w:rsid w:val="44DF8304"/>
    <w:rsid w:val="4502BBB7"/>
    <w:rsid w:val="452365AE"/>
    <w:rsid w:val="454058AE"/>
    <w:rsid w:val="4545FDD0"/>
    <w:rsid w:val="45528EB0"/>
    <w:rsid w:val="457F5A1E"/>
    <w:rsid w:val="45B2D6D8"/>
    <w:rsid w:val="45B9812C"/>
    <w:rsid w:val="45BC716C"/>
    <w:rsid w:val="45BF6CF4"/>
    <w:rsid w:val="45D453B0"/>
    <w:rsid w:val="45F8982C"/>
    <w:rsid w:val="462651C8"/>
    <w:rsid w:val="46506B1E"/>
    <w:rsid w:val="4661FDB0"/>
    <w:rsid w:val="46727C68"/>
    <w:rsid w:val="468D74D6"/>
    <w:rsid w:val="46A969E5"/>
    <w:rsid w:val="46BE2053"/>
    <w:rsid w:val="46CE40DC"/>
    <w:rsid w:val="46EB0D59"/>
    <w:rsid w:val="47111D80"/>
    <w:rsid w:val="472A4D2F"/>
    <w:rsid w:val="478384AA"/>
    <w:rsid w:val="47881807"/>
    <w:rsid w:val="47E14CDB"/>
    <w:rsid w:val="47EAAB58"/>
    <w:rsid w:val="47FBC4CD"/>
    <w:rsid w:val="4808B2D1"/>
    <w:rsid w:val="482F08FE"/>
    <w:rsid w:val="48331934"/>
    <w:rsid w:val="484EC17D"/>
    <w:rsid w:val="4856FB82"/>
    <w:rsid w:val="4863A789"/>
    <w:rsid w:val="487CB4ED"/>
    <w:rsid w:val="487FE866"/>
    <w:rsid w:val="488F3423"/>
    <w:rsid w:val="48A2782D"/>
    <w:rsid w:val="48D2FC21"/>
    <w:rsid w:val="49099268"/>
    <w:rsid w:val="4915381F"/>
    <w:rsid w:val="491D12E8"/>
    <w:rsid w:val="49641B48"/>
    <w:rsid w:val="49842C89"/>
    <w:rsid w:val="49D2A95D"/>
    <w:rsid w:val="49DA2A22"/>
    <w:rsid w:val="49EDD215"/>
    <w:rsid w:val="4A1CCE49"/>
    <w:rsid w:val="4A31FDF3"/>
    <w:rsid w:val="4A6A8B18"/>
    <w:rsid w:val="4AA4C481"/>
    <w:rsid w:val="4B045F72"/>
    <w:rsid w:val="4B278B71"/>
    <w:rsid w:val="4B7FA598"/>
    <w:rsid w:val="4B8BB1BE"/>
    <w:rsid w:val="4B9835F0"/>
    <w:rsid w:val="4B9C0673"/>
    <w:rsid w:val="4C1F10B7"/>
    <w:rsid w:val="4C24849A"/>
    <w:rsid w:val="4C42422B"/>
    <w:rsid w:val="4C6F29A2"/>
    <w:rsid w:val="4C7475B9"/>
    <w:rsid w:val="4C77DBD9"/>
    <w:rsid w:val="4C82DB63"/>
    <w:rsid w:val="4C9257BB"/>
    <w:rsid w:val="4CF675D7"/>
    <w:rsid w:val="4D2881B0"/>
    <w:rsid w:val="4D45421A"/>
    <w:rsid w:val="4D60B10F"/>
    <w:rsid w:val="4D889DD9"/>
    <w:rsid w:val="4DC21CF6"/>
    <w:rsid w:val="4DE3271A"/>
    <w:rsid w:val="4DEB85B6"/>
    <w:rsid w:val="4DF89B77"/>
    <w:rsid w:val="4E439E66"/>
    <w:rsid w:val="4E90208A"/>
    <w:rsid w:val="4EAC8ADD"/>
    <w:rsid w:val="4EB07C84"/>
    <w:rsid w:val="4EF6C76D"/>
    <w:rsid w:val="4F0216FD"/>
    <w:rsid w:val="4F0E5125"/>
    <w:rsid w:val="4F1F37CF"/>
    <w:rsid w:val="4F23792F"/>
    <w:rsid w:val="4F2AFE1D"/>
    <w:rsid w:val="4F2D017F"/>
    <w:rsid w:val="4F54ED94"/>
    <w:rsid w:val="4F554E13"/>
    <w:rsid w:val="4F57C801"/>
    <w:rsid w:val="4F58D407"/>
    <w:rsid w:val="4F76034B"/>
    <w:rsid w:val="4FA3A068"/>
    <w:rsid w:val="4FE01CD5"/>
    <w:rsid w:val="4FE9C34F"/>
    <w:rsid w:val="4FFE579C"/>
    <w:rsid w:val="50088D1F"/>
    <w:rsid w:val="501EE156"/>
    <w:rsid w:val="503CD6BA"/>
    <w:rsid w:val="50549E47"/>
    <w:rsid w:val="50AB9654"/>
    <w:rsid w:val="50D2FCD3"/>
    <w:rsid w:val="50D67CCA"/>
    <w:rsid w:val="50DB82E1"/>
    <w:rsid w:val="50FFF059"/>
    <w:rsid w:val="51018839"/>
    <w:rsid w:val="5106B6A7"/>
    <w:rsid w:val="510A85DF"/>
    <w:rsid w:val="51357BA5"/>
    <w:rsid w:val="5195702A"/>
    <w:rsid w:val="51B630A9"/>
    <w:rsid w:val="51B6F145"/>
    <w:rsid w:val="51D9871A"/>
    <w:rsid w:val="51DC8ABD"/>
    <w:rsid w:val="51E45D60"/>
    <w:rsid w:val="520D41ED"/>
    <w:rsid w:val="5211034B"/>
    <w:rsid w:val="52114499"/>
    <w:rsid w:val="5236F9D5"/>
    <w:rsid w:val="52AF375B"/>
    <w:rsid w:val="52AF71A7"/>
    <w:rsid w:val="52CB5764"/>
    <w:rsid w:val="52F17642"/>
    <w:rsid w:val="52F2BB15"/>
    <w:rsid w:val="52F95500"/>
    <w:rsid w:val="52FE96A7"/>
    <w:rsid w:val="5306847A"/>
    <w:rsid w:val="531F8C09"/>
    <w:rsid w:val="533567D0"/>
    <w:rsid w:val="5363EBA0"/>
    <w:rsid w:val="537914AB"/>
    <w:rsid w:val="53845BC1"/>
    <w:rsid w:val="53E81E22"/>
    <w:rsid w:val="53F23748"/>
    <w:rsid w:val="541F7BA9"/>
    <w:rsid w:val="542EA904"/>
    <w:rsid w:val="54494EC8"/>
    <w:rsid w:val="547FE8C4"/>
    <w:rsid w:val="54B5A6B7"/>
    <w:rsid w:val="54CF05CF"/>
    <w:rsid w:val="54D98802"/>
    <w:rsid w:val="54DDEB2A"/>
    <w:rsid w:val="54E6149B"/>
    <w:rsid w:val="550C3F47"/>
    <w:rsid w:val="55125F2B"/>
    <w:rsid w:val="5537B057"/>
    <w:rsid w:val="554F5E61"/>
    <w:rsid w:val="55680FFE"/>
    <w:rsid w:val="5596641C"/>
    <w:rsid w:val="55E2512D"/>
    <w:rsid w:val="55EB7A2C"/>
    <w:rsid w:val="563135CE"/>
    <w:rsid w:val="56320AF2"/>
    <w:rsid w:val="563FB1A2"/>
    <w:rsid w:val="56407FD2"/>
    <w:rsid w:val="56537348"/>
    <w:rsid w:val="56D45E2D"/>
    <w:rsid w:val="56F7BE70"/>
    <w:rsid w:val="56F7DEC2"/>
    <w:rsid w:val="57066044"/>
    <w:rsid w:val="571B4EB7"/>
    <w:rsid w:val="57478644"/>
    <w:rsid w:val="57493C52"/>
    <w:rsid w:val="579356CB"/>
    <w:rsid w:val="57A62560"/>
    <w:rsid w:val="57C5F804"/>
    <w:rsid w:val="57F492EA"/>
    <w:rsid w:val="57F7E7AD"/>
    <w:rsid w:val="58030B67"/>
    <w:rsid w:val="581DF89F"/>
    <w:rsid w:val="58328F3F"/>
    <w:rsid w:val="5863E3F1"/>
    <w:rsid w:val="5864E5C8"/>
    <w:rsid w:val="5865570D"/>
    <w:rsid w:val="58997493"/>
    <w:rsid w:val="58AAC239"/>
    <w:rsid w:val="58CFDD4B"/>
    <w:rsid w:val="58DE2A57"/>
    <w:rsid w:val="592CA80A"/>
    <w:rsid w:val="5936B55C"/>
    <w:rsid w:val="5955BEAA"/>
    <w:rsid w:val="595E3C72"/>
    <w:rsid w:val="59634107"/>
    <w:rsid w:val="5989D98A"/>
    <w:rsid w:val="598D56D9"/>
    <w:rsid w:val="5990DE3E"/>
    <w:rsid w:val="59D416C2"/>
    <w:rsid w:val="59E7C7CF"/>
    <w:rsid w:val="5A0D1562"/>
    <w:rsid w:val="5A29EBB8"/>
    <w:rsid w:val="5A3E2A70"/>
    <w:rsid w:val="5A5EBEFD"/>
    <w:rsid w:val="5AB7F272"/>
    <w:rsid w:val="5AC10C8B"/>
    <w:rsid w:val="5AC21179"/>
    <w:rsid w:val="5AE2A28F"/>
    <w:rsid w:val="5AEC8C42"/>
    <w:rsid w:val="5B2D6C5C"/>
    <w:rsid w:val="5B2F5EF3"/>
    <w:rsid w:val="5B65CD3C"/>
    <w:rsid w:val="5B6B4681"/>
    <w:rsid w:val="5B7C5513"/>
    <w:rsid w:val="5B999826"/>
    <w:rsid w:val="5BA6848D"/>
    <w:rsid w:val="5BA75D49"/>
    <w:rsid w:val="5BD8A5F1"/>
    <w:rsid w:val="5BF13992"/>
    <w:rsid w:val="5C08DF40"/>
    <w:rsid w:val="5C15FB72"/>
    <w:rsid w:val="5C2D1FE9"/>
    <w:rsid w:val="5C5EC5BA"/>
    <w:rsid w:val="5C6B6737"/>
    <w:rsid w:val="5C6FF448"/>
    <w:rsid w:val="5C8E7CE5"/>
    <w:rsid w:val="5CA7377A"/>
    <w:rsid w:val="5CB7EC97"/>
    <w:rsid w:val="5CD4F1B5"/>
    <w:rsid w:val="5CE50551"/>
    <w:rsid w:val="5D4D6F56"/>
    <w:rsid w:val="5DE673E9"/>
    <w:rsid w:val="5DFBD13B"/>
    <w:rsid w:val="5E2FA022"/>
    <w:rsid w:val="5E3D3510"/>
    <w:rsid w:val="5E98447E"/>
    <w:rsid w:val="5F07494D"/>
    <w:rsid w:val="5F4D62DB"/>
    <w:rsid w:val="5F603806"/>
    <w:rsid w:val="5F634CE2"/>
    <w:rsid w:val="5F6D8A08"/>
    <w:rsid w:val="5F710533"/>
    <w:rsid w:val="5FDCC277"/>
    <w:rsid w:val="5FE84B7E"/>
    <w:rsid w:val="5FF90608"/>
    <w:rsid w:val="6055AFAB"/>
    <w:rsid w:val="6060BD5A"/>
    <w:rsid w:val="607C53A6"/>
    <w:rsid w:val="60A06E3E"/>
    <w:rsid w:val="60CBB9CA"/>
    <w:rsid w:val="60D21AAC"/>
    <w:rsid w:val="61672A1E"/>
    <w:rsid w:val="6168CEA2"/>
    <w:rsid w:val="6169E6DD"/>
    <w:rsid w:val="61FFA8D5"/>
    <w:rsid w:val="62040518"/>
    <w:rsid w:val="62305263"/>
    <w:rsid w:val="6239E9BD"/>
    <w:rsid w:val="6246B403"/>
    <w:rsid w:val="62497DA4"/>
    <w:rsid w:val="626394FF"/>
    <w:rsid w:val="626A8E2F"/>
    <w:rsid w:val="626DCD72"/>
    <w:rsid w:val="627D807C"/>
    <w:rsid w:val="6285A636"/>
    <w:rsid w:val="62BAD056"/>
    <w:rsid w:val="62CA5D75"/>
    <w:rsid w:val="62E98D14"/>
    <w:rsid w:val="631DA198"/>
    <w:rsid w:val="632D9FC7"/>
    <w:rsid w:val="63478904"/>
    <w:rsid w:val="635C271F"/>
    <w:rsid w:val="638795AA"/>
    <w:rsid w:val="63B3C4A5"/>
    <w:rsid w:val="63C6D8E2"/>
    <w:rsid w:val="63D16399"/>
    <w:rsid w:val="63D37001"/>
    <w:rsid w:val="63E73B79"/>
    <w:rsid w:val="63F9DD8E"/>
    <w:rsid w:val="644E3624"/>
    <w:rsid w:val="64523AF4"/>
    <w:rsid w:val="6464B9AF"/>
    <w:rsid w:val="646D8260"/>
    <w:rsid w:val="64BB37CB"/>
    <w:rsid w:val="64CC0EFB"/>
    <w:rsid w:val="64CD0594"/>
    <w:rsid w:val="65028F18"/>
    <w:rsid w:val="6516CCBE"/>
    <w:rsid w:val="6529855A"/>
    <w:rsid w:val="6534215E"/>
    <w:rsid w:val="6545CED8"/>
    <w:rsid w:val="656CC060"/>
    <w:rsid w:val="65728904"/>
    <w:rsid w:val="65769B6C"/>
    <w:rsid w:val="658031B1"/>
    <w:rsid w:val="65ADE6AE"/>
    <w:rsid w:val="65CDE1E7"/>
    <w:rsid w:val="65DE042A"/>
    <w:rsid w:val="65E10A62"/>
    <w:rsid w:val="65E5A7E0"/>
    <w:rsid w:val="65F031FD"/>
    <w:rsid w:val="6607C48E"/>
    <w:rsid w:val="660CBB66"/>
    <w:rsid w:val="661F51FE"/>
    <w:rsid w:val="663602AD"/>
    <w:rsid w:val="666B5298"/>
    <w:rsid w:val="66858FEF"/>
    <w:rsid w:val="6686B575"/>
    <w:rsid w:val="6705E38C"/>
    <w:rsid w:val="670C6449"/>
    <w:rsid w:val="673441E5"/>
    <w:rsid w:val="673B0226"/>
    <w:rsid w:val="67AD81CD"/>
    <w:rsid w:val="67E624FC"/>
    <w:rsid w:val="6813D2F2"/>
    <w:rsid w:val="684B433B"/>
    <w:rsid w:val="6859AE43"/>
    <w:rsid w:val="687549B6"/>
    <w:rsid w:val="68806AB1"/>
    <w:rsid w:val="689BF3C5"/>
    <w:rsid w:val="68A651F8"/>
    <w:rsid w:val="68D290B3"/>
    <w:rsid w:val="68E66411"/>
    <w:rsid w:val="691AB5B8"/>
    <w:rsid w:val="69266386"/>
    <w:rsid w:val="692824D6"/>
    <w:rsid w:val="692979F5"/>
    <w:rsid w:val="692D0F0C"/>
    <w:rsid w:val="6937F9A0"/>
    <w:rsid w:val="6947D665"/>
    <w:rsid w:val="69711F09"/>
    <w:rsid w:val="699DD92E"/>
    <w:rsid w:val="69A7720B"/>
    <w:rsid w:val="69A7C77A"/>
    <w:rsid w:val="69BB3450"/>
    <w:rsid w:val="6A3CBA20"/>
    <w:rsid w:val="6A596F8E"/>
    <w:rsid w:val="6A828E68"/>
    <w:rsid w:val="6A8EE732"/>
    <w:rsid w:val="6AAA85AE"/>
    <w:rsid w:val="6AAF97B3"/>
    <w:rsid w:val="6AB37057"/>
    <w:rsid w:val="6ABEDA20"/>
    <w:rsid w:val="6AC07947"/>
    <w:rsid w:val="6ADFBFD3"/>
    <w:rsid w:val="6B1F5B35"/>
    <w:rsid w:val="6BB0A4B9"/>
    <w:rsid w:val="6BB55CC4"/>
    <w:rsid w:val="6BFC4C2F"/>
    <w:rsid w:val="6C1838D0"/>
    <w:rsid w:val="6C21CDCE"/>
    <w:rsid w:val="6C22B751"/>
    <w:rsid w:val="6C25AFC9"/>
    <w:rsid w:val="6C3D5743"/>
    <w:rsid w:val="6C57EBDD"/>
    <w:rsid w:val="6C644123"/>
    <w:rsid w:val="6C699D97"/>
    <w:rsid w:val="6C7486CE"/>
    <w:rsid w:val="6C7DBDD4"/>
    <w:rsid w:val="6C902EBF"/>
    <w:rsid w:val="6CB4806C"/>
    <w:rsid w:val="6CC2ACE2"/>
    <w:rsid w:val="6CEB4B3E"/>
    <w:rsid w:val="6D318BC4"/>
    <w:rsid w:val="6D69F4FE"/>
    <w:rsid w:val="6D74F875"/>
    <w:rsid w:val="6DB45839"/>
    <w:rsid w:val="6DBA0229"/>
    <w:rsid w:val="6DBF20FC"/>
    <w:rsid w:val="6DC5C8B7"/>
    <w:rsid w:val="6DF88E69"/>
    <w:rsid w:val="6E17C88F"/>
    <w:rsid w:val="6E45638B"/>
    <w:rsid w:val="6E45C498"/>
    <w:rsid w:val="6E4D09EE"/>
    <w:rsid w:val="6E63523B"/>
    <w:rsid w:val="6E71DD06"/>
    <w:rsid w:val="6E8DBC15"/>
    <w:rsid w:val="6ECB13F1"/>
    <w:rsid w:val="6EED915C"/>
    <w:rsid w:val="6F1D8013"/>
    <w:rsid w:val="6F538807"/>
    <w:rsid w:val="6F560433"/>
    <w:rsid w:val="6F63F673"/>
    <w:rsid w:val="6F6D99F0"/>
    <w:rsid w:val="6F8F04C5"/>
    <w:rsid w:val="6F9D8DCA"/>
    <w:rsid w:val="6F9F685A"/>
    <w:rsid w:val="7010F3AB"/>
    <w:rsid w:val="70252EA5"/>
    <w:rsid w:val="70265464"/>
    <w:rsid w:val="70383778"/>
    <w:rsid w:val="7039A970"/>
    <w:rsid w:val="705277FF"/>
    <w:rsid w:val="70713A4F"/>
    <w:rsid w:val="708ED4EE"/>
    <w:rsid w:val="709CF511"/>
    <w:rsid w:val="70A22FD1"/>
    <w:rsid w:val="70C31A1D"/>
    <w:rsid w:val="70D0976D"/>
    <w:rsid w:val="70E1B2B4"/>
    <w:rsid w:val="70E38B34"/>
    <w:rsid w:val="70F1AF17"/>
    <w:rsid w:val="710E07B9"/>
    <w:rsid w:val="7142C7A2"/>
    <w:rsid w:val="7149C8A6"/>
    <w:rsid w:val="714DE333"/>
    <w:rsid w:val="719B03BA"/>
    <w:rsid w:val="71F62480"/>
    <w:rsid w:val="7203FBCF"/>
    <w:rsid w:val="7224F1C1"/>
    <w:rsid w:val="72517474"/>
    <w:rsid w:val="7294F50C"/>
    <w:rsid w:val="729DCCE1"/>
    <w:rsid w:val="72A1C9EC"/>
    <w:rsid w:val="7309CC74"/>
    <w:rsid w:val="7330441E"/>
    <w:rsid w:val="733BCC18"/>
    <w:rsid w:val="7343E598"/>
    <w:rsid w:val="738A4E18"/>
    <w:rsid w:val="739D9A8E"/>
    <w:rsid w:val="73C6B2C8"/>
    <w:rsid w:val="7402E944"/>
    <w:rsid w:val="7402FCBC"/>
    <w:rsid w:val="740FEF32"/>
    <w:rsid w:val="749FCF7B"/>
    <w:rsid w:val="74A7E0D0"/>
    <w:rsid w:val="74E14940"/>
    <w:rsid w:val="74EE8AF5"/>
    <w:rsid w:val="74F6208E"/>
    <w:rsid w:val="74FE3500"/>
    <w:rsid w:val="74FE755B"/>
    <w:rsid w:val="751CD6E9"/>
    <w:rsid w:val="7526B622"/>
    <w:rsid w:val="7527768D"/>
    <w:rsid w:val="7553CC0B"/>
    <w:rsid w:val="7573D715"/>
    <w:rsid w:val="75883885"/>
    <w:rsid w:val="758A2E86"/>
    <w:rsid w:val="75B38467"/>
    <w:rsid w:val="75B73969"/>
    <w:rsid w:val="75C71DB0"/>
    <w:rsid w:val="75CB2F90"/>
    <w:rsid w:val="75FE27E7"/>
    <w:rsid w:val="761BB5AC"/>
    <w:rsid w:val="7626E78B"/>
    <w:rsid w:val="7630E94F"/>
    <w:rsid w:val="76583963"/>
    <w:rsid w:val="7666641C"/>
    <w:rsid w:val="768B2845"/>
    <w:rsid w:val="769316CA"/>
    <w:rsid w:val="76CE7087"/>
    <w:rsid w:val="76F8DECC"/>
    <w:rsid w:val="771F425A"/>
    <w:rsid w:val="7759E17C"/>
    <w:rsid w:val="778378C1"/>
    <w:rsid w:val="779AD749"/>
    <w:rsid w:val="77A388C3"/>
    <w:rsid w:val="77EBD27C"/>
    <w:rsid w:val="7808F3AD"/>
    <w:rsid w:val="780DE297"/>
    <w:rsid w:val="78143AFA"/>
    <w:rsid w:val="781D37E4"/>
    <w:rsid w:val="78459FE7"/>
    <w:rsid w:val="786DDF19"/>
    <w:rsid w:val="78750029"/>
    <w:rsid w:val="78768AC9"/>
    <w:rsid w:val="787D69F9"/>
    <w:rsid w:val="78AA22CF"/>
    <w:rsid w:val="78B8AB68"/>
    <w:rsid w:val="7901FFF0"/>
    <w:rsid w:val="79308EED"/>
    <w:rsid w:val="79845569"/>
    <w:rsid w:val="79A11C9A"/>
    <w:rsid w:val="79B58AE5"/>
    <w:rsid w:val="79B6AACC"/>
    <w:rsid w:val="79C1BB5F"/>
    <w:rsid w:val="79CAB73F"/>
    <w:rsid w:val="79CAC983"/>
    <w:rsid w:val="79F10B23"/>
    <w:rsid w:val="7A039CB3"/>
    <w:rsid w:val="7A97F534"/>
    <w:rsid w:val="7AAA8244"/>
    <w:rsid w:val="7AB25C10"/>
    <w:rsid w:val="7AC5CEED"/>
    <w:rsid w:val="7AD37340"/>
    <w:rsid w:val="7AF0E83F"/>
    <w:rsid w:val="7B04A58F"/>
    <w:rsid w:val="7B25EA96"/>
    <w:rsid w:val="7B4C1447"/>
    <w:rsid w:val="7B73B0B3"/>
    <w:rsid w:val="7BA54A60"/>
    <w:rsid w:val="7BC20101"/>
    <w:rsid w:val="7BCF94CF"/>
    <w:rsid w:val="7BD2DAB5"/>
    <w:rsid w:val="7BDA7E18"/>
    <w:rsid w:val="7C24EADE"/>
    <w:rsid w:val="7C376F65"/>
    <w:rsid w:val="7C524DFD"/>
    <w:rsid w:val="7C639554"/>
    <w:rsid w:val="7C7064A2"/>
    <w:rsid w:val="7C79FDA4"/>
    <w:rsid w:val="7CA9ACD8"/>
    <w:rsid w:val="7CAAA87C"/>
    <w:rsid w:val="7CCF5CB5"/>
    <w:rsid w:val="7CD0767B"/>
    <w:rsid w:val="7CE477E3"/>
    <w:rsid w:val="7D0CE844"/>
    <w:rsid w:val="7D187541"/>
    <w:rsid w:val="7D1E2FA3"/>
    <w:rsid w:val="7D34AC54"/>
    <w:rsid w:val="7D3648A9"/>
    <w:rsid w:val="7D819BCC"/>
    <w:rsid w:val="7D843B2E"/>
    <w:rsid w:val="7DC21434"/>
    <w:rsid w:val="7DD0D58F"/>
    <w:rsid w:val="7DD56710"/>
    <w:rsid w:val="7DF02618"/>
    <w:rsid w:val="7DF303A6"/>
    <w:rsid w:val="7DFC0430"/>
    <w:rsid w:val="7E173E2F"/>
    <w:rsid w:val="7E175F28"/>
    <w:rsid w:val="7E2A0004"/>
    <w:rsid w:val="7E34CA80"/>
    <w:rsid w:val="7E48ECE4"/>
    <w:rsid w:val="7E49B1F5"/>
    <w:rsid w:val="7E5B1DF9"/>
    <w:rsid w:val="7E5F2E38"/>
    <w:rsid w:val="7E6E9B83"/>
    <w:rsid w:val="7E8A3E63"/>
    <w:rsid w:val="7EB8C33E"/>
    <w:rsid w:val="7ED0E60F"/>
    <w:rsid w:val="7EDED603"/>
    <w:rsid w:val="7F0BA3B1"/>
    <w:rsid w:val="7F12F440"/>
    <w:rsid w:val="7F1B12AE"/>
    <w:rsid w:val="7F4812C5"/>
    <w:rsid w:val="7F890FE0"/>
    <w:rsid w:val="7F912A4A"/>
    <w:rsid w:val="7FA84525"/>
    <w:rsid w:val="7FB5054F"/>
    <w:rsid w:val="7FCBA3B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ABA60"/>
  <w15:chartTrackingRefBased/>
  <w15:docId w15:val="{A712E9E2-6DD4-43FE-8E98-45BBE835B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hAnsi="Aptos" w:eastAsiaTheme="minorHAnsi"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05A3D"/>
    <w:pPr>
      <w:spacing w:line="279" w:lineRule="auto"/>
    </w:pPr>
  </w:style>
  <w:style w:type="paragraph" w:styleId="Heading1">
    <w:name w:val="heading 1"/>
    <w:basedOn w:val="Normal"/>
    <w:next w:val="Normal"/>
    <w:link w:val="Heading1Char"/>
    <w:uiPriority w:val="9"/>
    <w:qFormat/>
    <w:rsid w:val="00705A3D"/>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705A3D"/>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705A3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05A3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05A3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05A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5A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5A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5A3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05A3D"/>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rsid w:val="00705A3D"/>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rsid w:val="00705A3D"/>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705A3D"/>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705A3D"/>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705A3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705A3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705A3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705A3D"/>
    <w:rPr>
      <w:rFonts w:eastAsiaTheme="majorEastAsia" w:cstheme="majorBidi"/>
      <w:color w:val="272727" w:themeColor="text1" w:themeTint="D8"/>
    </w:rPr>
  </w:style>
  <w:style w:type="paragraph" w:styleId="Title">
    <w:name w:val="Title"/>
    <w:basedOn w:val="Normal"/>
    <w:next w:val="Normal"/>
    <w:link w:val="TitleChar"/>
    <w:uiPriority w:val="10"/>
    <w:qFormat/>
    <w:rsid w:val="00705A3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05A3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705A3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705A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5A3D"/>
    <w:pPr>
      <w:spacing w:before="160"/>
      <w:jc w:val="center"/>
    </w:pPr>
    <w:rPr>
      <w:i/>
      <w:iCs/>
      <w:color w:val="404040" w:themeColor="text1" w:themeTint="BF"/>
    </w:rPr>
  </w:style>
  <w:style w:type="character" w:styleId="QuoteChar" w:customStyle="1">
    <w:name w:val="Quote Char"/>
    <w:basedOn w:val="DefaultParagraphFont"/>
    <w:link w:val="Quote"/>
    <w:uiPriority w:val="29"/>
    <w:rsid w:val="00705A3D"/>
    <w:rPr>
      <w:i/>
      <w:iCs/>
      <w:color w:val="404040" w:themeColor="text1" w:themeTint="BF"/>
    </w:rPr>
  </w:style>
  <w:style w:type="paragraph" w:styleId="ListParagraph">
    <w:name w:val="List Paragraph"/>
    <w:basedOn w:val="Normal"/>
    <w:uiPriority w:val="34"/>
    <w:qFormat/>
    <w:rsid w:val="00705A3D"/>
    <w:pPr>
      <w:ind w:left="720"/>
      <w:contextualSpacing/>
    </w:pPr>
  </w:style>
  <w:style w:type="character" w:styleId="IntenseEmphasis">
    <w:name w:val="Intense Emphasis"/>
    <w:basedOn w:val="DefaultParagraphFont"/>
    <w:uiPriority w:val="21"/>
    <w:qFormat/>
    <w:rsid w:val="00705A3D"/>
    <w:rPr>
      <w:i/>
      <w:iCs/>
      <w:color w:val="2F5496" w:themeColor="accent1" w:themeShade="BF"/>
    </w:rPr>
  </w:style>
  <w:style w:type="paragraph" w:styleId="IntenseQuote">
    <w:name w:val="Intense Quote"/>
    <w:basedOn w:val="Normal"/>
    <w:next w:val="Normal"/>
    <w:link w:val="IntenseQuoteChar"/>
    <w:uiPriority w:val="30"/>
    <w:qFormat/>
    <w:rsid w:val="00705A3D"/>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705A3D"/>
    <w:rPr>
      <w:i/>
      <w:iCs/>
      <w:color w:val="2F5496" w:themeColor="accent1" w:themeShade="BF"/>
    </w:rPr>
  </w:style>
  <w:style w:type="character" w:styleId="IntenseReference">
    <w:name w:val="Intense Reference"/>
    <w:basedOn w:val="DefaultParagraphFont"/>
    <w:uiPriority w:val="32"/>
    <w:qFormat/>
    <w:rsid w:val="00705A3D"/>
    <w:rPr>
      <w:b/>
      <w:bCs/>
      <w:smallCaps/>
      <w:color w:val="2F5496" w:themeColor="accent1" w:themeShade="BF"/>
      <w:spacing w:val="5"/>
    </w:rPr>
  </w:style>
  <w:style w:type="paragraph" w:styleId="Header">
    <w:name w:val="header"/>
    <w:basedOn w:val="Normal"/>
    <w:link w:val="HeaderChar"/>
    <w:uiPriority w:val="99"/>
    <w:unhideWhenUsed/>
    <w:rsid w:val="00705A3D"/>
    <w:pPr>
      <w:tabs>
        <w:tab w:val="center" w:pos="4513"/>
        <w:tab w:val="right" w:pos="9026"/>
      </w:tabs>
      <w:spacing w:after="0" w:line="240" w:lineRule="auto"/>
    </w:pPr>
  </w:style>
  <w:style w:type="character" w:styleId="HeaderChar" w:customStyle="1">
    <w:name w:val="Header Char"/>
    <w:basedOn w:val="DefaultParagraphFont"/>
    <w:link w:val="Header"/>
    <w:uiPriority w:val="99"/>
    <w:rsid w:val="00705A3D"/>
  </w:style>
  <w:style w:type="paragraph" w:styleId="Footer">
    <w:name w:val="footer"/>
    <w:basedOn w:val="Normal"/>
    <w:link w:val="FooterChar"/>
    <w:uiPriority w:val="99"/>
    <w:unhideWhenUsed/>
    <w:rsid w:val="00705A3D"/>
    <w:pPr>
      <w:tabs>
        <w:tab w:val="center" w:pos="4513"/>
        <w:tab w:val="right" w:pos="9026"/>
      </w:tabs>
      <w:spacing w:after="0" w:line="240" w:lineRule="auto"/>
    </w:pPr>
  </w:style>
  <w:style w:type="character" w:styleId="FooterChar" w:customStyle="1">
    <w:name w:val="Footer Char"/>
    <w:basedOn w:val="DefaultParagraphFont"/>
    <w:link w:val="Footer"/>
    <w:uiPriority w:val="99"/>
    <w:rsid w:val="00705A3D"/>
  </w:style>
  <w:style w:type="character" w:styleId="CommentReference">
    <w:name w:val="annotation reference"/>
    <w:basedOn w:val="DefaultParagraphFont"/>
    <w:uiPriority w:val="99"/>
    <w:semiHidden/>
    <w:unhideWhenUsed/>
    <w:rsid w:val="00FA284B"/>
    <w:rPr>
      <w:sz w:val="16"/>
      <w:szCs w:val="16"/>
    </w:rPr>
  </w:style>
  <w:style w:type="paragraph" w:styleId="CommentText">
    <w:name w:val="annotation text"/>
    <w:basedOn w:val="Normal"/>
    <w:link w:val="CommentTextChar"/>
    <w:uiPriority w:val="99"/>
    <w:unhideWhenUsed/>
    <w:rsid w:val="00FA284B"/>
    <w:pPr>
      <w:spacing w:line="240" w:lineRule="auto"/>
    </w:pPr>
    <w:rPr>
      <w:sz w:val="20"/>
      <w:szCs w:val="20"/>
    </w:rPr>
  </w:style>
  <w:style w:type="character" w:styleId="CommentTextChar" w:customStyle="1">
    <w:name w:val="Comment Text Char"/>
    <w:basedOn w:val="DefaultParagraphFont"/>
    <w:link w:val="CommentText"/>
    <w:uiPriority w:val="99"/>
    <w:rsid w:val="00FA284B"/>
    <w:rPr>
      <w:rFonts w:eastAsiaTheme="minorEastAsia"/>
      <w:kern w:val="0"/>
      <w:sz w:val="20"/>
      <w:szCs w:val="20"/>
      <w:lang w:eastAsia="ja-JP"/>
      <w14:ligatures w14:val="none"/>
    </w:rPr>
  </w:style>
  <w:style w:type="paragraph" w:styleId="FootnoteText">
    <w:name w:val="footnote text"/>
    <w:basedOn w:val="Normal"/>
    <w:link w:val="FootnoteTextChar"/>
    <w:uiPriority w:val="99"/>
    <w:semiHidden/>
    <w:unhideWhenUsed/>
    <w:rsid w:val="00FA284B"/>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FA284B"/>
    <w:rPr>
      <w:rFonts w:eastAsiaTheme="minorEastAsia"/>
      <w:kern w:val="0"/>
      <w:sz w:val="20"/>
      <w:szCs w:val="20"/>
      <w:lang w:eastAsia="ja-JP"/>
      <w14:ligatures w14:val="none"/>
    </w:rPr>
  </w:style>
  <w:style w:type="character" w:styleId="FootnoteReference">
    <w:name w:val="footnote reference"/>
    <w:basedOn w:val="DefaultParagraphFont"/>
    <w:uiPriority w:val="99"/>
    <w:semiHidden/>
    <w:unhideWhenUsed/>
    <w:rsid w:val="00FA284B"/>
    <w:rPr>
      <w:vertAlign w:val="superscript"/>
    </w:rPr>
  </w:style>
  <w:style w:type="character" w:styleId="Hyperlink">
    <w:name w:val="Hyperlink"/>
    <w:basedOn w:val="DefaultParagraphFont"/>
    <w:uiPriority w:val="99"/>
    <w:unhideWhenUsed/>
    <w:rsid w:val="00FA284B"/>
    <w:rPr>
      <w:color w:val="0563C1" w:themeColor="hyperlink"/>
      <w:u w:val="single"/>
    </w:rPr>
  </w:style>
  <w:style w:type="character" w:styleId="Mention">
    <w:name w:val="Mention"/>
    <w:basedOn w:val="DefaultParagraphFont"/>
    <w:uiPriority w:val="99"/>
    <w:unhideWhenUsed/>
    <w:rsid w:val="00FA284B"/>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BB75B6"/>
    <w:rPr>
      <w:b/>
      <w:bCs/>
    </w:rPr>
  </w:style>
  <w:style w:type="character" w:styleId="CommentSubjectChar" w:customStyle="1">
    <w:name w:val="Comment Subject Char"/>
    <w:basedOn w:val="CommentTextChar"/>
    <w:link w:val="CommentSubject"/>
    <w:uiPriority w:val="99"/>
    <w:semiHidden/>
    <w:rsid w:val="00BB75B6"/>
    <w:rPr>
      <w:rFonts w:eastAsiaTheme="minorEastAsia"/>
      <w:b/>
      <w:bCs/>
      <w:kern w:val="0"/>
      <w:sz w:val="20"/>
      <w:szCs w:val="20"/>
      <w:lang w:eastAsia="ja-JP"/>
      <w14:ligatures w14:val="none"/>
    </w:rPr>
  </w:style>
  <w:style w:type="character" w:styleId="UnresolvedMention">
    <w:name w:val="Unresolved Mention"/>
    <w:basedOn w:val="DefaultParagraphFont"/>
    <w:uiPriority w:val="99"/>
    <w:semiHidden/>
    <w:unhideWhenUsed/>
    <w:rsid w:val="00361BB7"/>
    <w:rPr>
      <w:color w:val="605E5C"/>
      <w:shd w:val="clear" w:color="auto" w:fill="E1DFDD"/>
    </w:rPr>
  </w:style>
  <w:style w:type="paragraph" w:styleId="Revision">
    <w:name w:val="Revision"/>
    <w:hidden/>
    <w:uiPriority w:val="99"/>
    <w:semiHidden/>
    <w:rsid w:val="00640E5B"/>
    <w:pPr>
      <w:spacing w:after="0" w:line="240" w:lineRule="auto"/>
    </w:pPr>
    <w:rPr>
      <w:rFonts w:eastAsiaTheme="minorEastAsia"/>
      <w:lang w:eastAsia="ja-JP"/>
    </w:rPr>
  </w:style>
  <w:style w:type="character" w:styleId="FollowedHyperlink">
    <w:name w:val="FollowedHyperlink"/>
    <w:basedOn w:val="DefaultParagraphFont"/>
    <w:uiPriority w:val="99"/>
    <w:semiHidden/>
    <w:unhideWhenUsed/>
    <w:rsid w:val="00025973"/>
    <w:rPr>
      <w:color w:val="954F72" w:themeColor="followedHyperlink"/>
      <w:u w:val="single"/>
    </w:rPr>
  </w:style>
  <w:style w:type="paragraph" w:styleId="DESNZTitle" w:customStyle="1">
    <w:name w:val="DESNZ Title"/>
    <w:basedOn w:val="Normal"/>
    <w:next w:val="DESNZSub-title"/>
    <w:rsid w:val="00910B4F"/>
    <w:pPr>
      <w:spacing w:after="240" w:line="320" w:lineRule="atLeast"/>
    </w:pPr>
    <w:rPr>
      <w:rFonts w:ascii="Arial" w:hAnsi="Arial"/>
      <w:color w:val="041E42"/>
      <w:sz w:val="76"/>
      <w:szCs w:val="22"/>
    </w:rPr>
  </w:style>
  <w:style w:type="paragraph" w:styleId="DESNZSub-title" w:customStyle="1">
    <w:name w:val="DESNZ Sub-title"/>
    <w:basedOn w:val="Normal"/>
    <w:next w:val="DESNZDate"/>
    <w:rsid w:val="00910B4F"/>
    <w:pPr>
      <w:spacing w:after="480" w:line="320" w:lineRule="atLeast"/>
    </w:pPr>
    <w:rPr>
      <w:rFonts w:ascii="Arial" w:hAnsi="Arial"/>
      <w:color w:val="868686"/>
      <w:sz w:val="48"/>
      <w:szCs w:val="22"/>
    </w:rPr>
  </w:style>
  <w:style w:type="paragraph" w:styleId="DESNZDate" w:customStyle="1">
    <w:name w:val="DESNZ Date"/>
    <w:basedOn w:val="Normal"/>
    <w:rsid w:val="00910B4F"/>
    <w:pPr>
      <w:spacing w:after="0" w:line="320" w:lineRule="atLeast"/>
    </w:pPr>
    <w:rPr>
      <w:rFonts w:ascii="Arial" w:hAnsi="Arial"/>
      <w:color w:val="868686"/>
      <w:sz w:val="28"/>
      <w:szCs w:val="22"/>
    </w:rPr>
  </w:style>
  <w:style w:type="paragraph" w:styleId="Copyrightstatement" w:customStyle="1">
    <w:name w:val="Copyright statement"/>
    <w:basedOn w:val="Normal"/>
    <w:rsid w:val="00910B4F"/>
    <w:pPr>
      <w:spacing w:after="200" w:line="240" w:lineRule="auto"/>
    </w:pPr>
    <w:rPr>
      <w:rFonts w:ascii="Arial" w:hAnsi="Arial"/>
      <w:sz w:val="20"/>
      <w:szCs w:val="22"/>
    </w:rPr>
  </w:style>
  <w:style w:type="paragraph" w:styleId="Contents" w:customStyle="1">
    <w:name w:val="Contents"/>
    <w:basedOn w:val="Heading1"/>
    <w:next w:val="Normal"/>
    <w:rsid w:val="00910B4F"/>
    <w:pPr>
      <w:spacing w:before="0" w:after="480" w:line="320" w:lineRule="atLeast"/>
    </w:pPr>
    <w:rPr>
      <w:rFonts w:ascii="Arial" w:hAnsi="Arial"/>
      <w:color w:val="041E42"/>
      <w:sz w:val="52"/>
      <w:szCs w:val="32"/>
    </w:rPr>
  </w:style>
  <w:style w:type="character" w:styleId="Boldtext" w:customStyle="1">
    <w:name w:val="Bold text"/>
    <w:basedOn w:val="DefaultParagraphFont"/>
    <w:uiPriority w:val="1"/>
    <w:qFormat/>
    <w:rsid w:val="00910B4F"/>
    <w:rPr>
      <w:b/>
      <w:color w:val="auto"/>
    </w:rPr>
  </w:style>
  <w:style w:type="paragraph" w:styleId="Introparagraph" w:customStyle="1">
    <w:name w:val="Intro paragraph"/>
    <w:basedOn w:val="Normal"/>
    <w:next w:val="Normal"/>
    <w:uiPriority w:val="2"/>
    <w:qFormat/>
    <w:rsid w:val="00910B4F"/>
    <w:pPr>
      <w:spacing w:after="240" w:line="280" w:lineRule="atLeast"/>
    </w:pPr>
    <w:rPr>
      <w:rFonts w:ascii="Arial" w:hAnsi="Arial"/>
      <w:i/>
      <w:color w:val="041E42"/>
      <w:sz w:val="26"/>
      <w:szCs w:val="22"/>
    </w:rPr>
  </w:style>
  <w:style w:type="paragraph" w:styleId="DESNZbulletedlist" w:customStyle="1">
    <w:name w:val="DESNZ bulleted list"/>
    <w:basedOn w:val="Normal"/>
    <w:uiPriority w:val="2"/>
    <w:qFormat/>
    <w:rsid w:val="00910B4F"/>
    <w:pPr>
      <w:numPr>
        <w:numId w:val="2"/>
      </w:numPr>
      <w:spacing w:after="120" w:line="320" w:lineRule="atLeast"/>
    </w:pPr>
    <w:rPr>
      <w:rFonts w:ascii="Arial" w:hAnsi="Arial"/>
      <w:szCs w:val="22"/>
    </w:rPr>
  </w:style>
  <w:style w:type="paragraph" w:styleId="TOC1">
    <w:name w:val="toc 1"/>
    <w:basedOn w:val="Normal"/>
    <w:next w:val="Normal"/>
    <w:autoRedefine/>
    <w:uiPriority w:val="39"/>
    <w:unhideWhenUsed/>
    <w:rsid w:val="00F830E9"/>
    <w:pPr>
      <w:tabs>
        <w:tab w:val="left" w:pos="960"/>
        <w:tab w:val="right" w:leader="underscore" w:pos="10082"/>
      </w:tabs>
      <w:spacing w:before="120" w:after="120" w:line="320" w:lineRule="atLeast"/>
      <w:ind w:left="238"/>
    </w:pPr>
    <w:rPr>
      <w:rFonts w:ascii="Arial" w:hAnsi="Arial"/>
      <w:color w:val="041E42"/>
      <w:szCs w:val="22"/>
    </w:rPr>
  </w:style>
  <w:style w:type="paragraph" w:styleId="TOC2">
    <w:name w:val="toc 2"/>
    <w:basedOn w:val="Normal"/>
    <w:next w:val="Normal"/>
    <w:autoRedefine/>
    <w:uiPriority w:val="39"/>
    <w:unhideWhenUsed/>
    <w:rsid w:val="00910B4F"/>
    <w:pPr>
      <w:tabs>
        <w:tab w:val="right" w:leader="underscore" w:pos="10082"/>
      </w:tabs>
      <w:spacing w:before="120" w:after="120" w:line="320" w:lineRule="atLeast"/>
      <w:ind w:left="238"/>
    </w:pPr>
    <w:rPr>
      <w:rFonts w:ascii="Arial" w:hAnsi="Arial"/>
      <w:color w:val="041E42"/>
      <w:szCs w:val="22"/>
    </w:rPr>
  </w:style>
  <w:style w:type="table" w:styleId="TableGrid">
    <w:name w:val="Table Grid"/>
    <w:basedOn w:val="TableNormal"/>
    <w:uiPriority w:val="39"/>
    <w:rsid w:val="00910B4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SNZResearchNo" w:customStyle="1">
    <w:name w:val="DESNZ Research No."/>
    <w:basedOn w:val="DESNZDate"/>
    <w:next w:val="Normal"/>
    <w:rsid w:val="00910B4F"/>
  </w:style>
  <w:style w:type="paragraph" w:styleId="TOC3">
    <w:name w:val="toc 3"/>
    <w:basedOn w:val="Normal"/>
    <w:next w:val="Normal"/>
    <w:autoRedefine/>
    <w:uiPriority w:val="39"/>
    <w:unhideWhenUsed/>
    <w:rsid w:val="00CF0C89"/>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720675">
      <w:bodyDiv w:val="1"/>
      <w:marLeft w:val="0"/>
      <w:marRight w:val="0"/>
      <w:marTop w:val="0"/>
      <w:marBottom w:val="0"/>
      <w:divBdr>
        <w:top w:val="none" w:sz="0" w:space="0" w:color="auto"/>
        <w:left w:val="none" w:sz="0" w:space="0" w:color="auto"/>
        <w:bottom w:val="none" w:sz="0" w:space="0" w:color="auto"/>
        <w:right w:val="none" w:sz="0" w:space="0" w:color="auto"/>
      </w:divBdr>
    </w:div>
    <w:div w:id="469061552">
      <w:bodyDiv w:val="1"/>
      <w:marLeft w:val="0"/>
      <w:marRight w:val="0"/>
      <w:marTop w:val="0"/>
      <w:marBottom w:val="0"/>
      <w:divBdr>
        <w:top w:val="none" w:sz="0" w:space="0" w:color="auto"/>
        <w:left w:val="none" w:sz="0" w:space="0" w:color="auto"/>
        <w:bottom w:val="none" w:sz="0" w:space="0" w:color="auto"/>
        <w:right w:val="none" w:sz="0" w:space="0" w:color="auto"/>
      </w:divBdr>
    </w:div>
    <w:div w:id="927159256">
      <w:bodyDiv w:val="1"/>
      <w:marLeft w:val="0"/>
      <w:marRight w:val="0"/>
      <w:marTop w:val="0"/>
      <w:marBottom w:val="0"/>
      <w:divBdr>
        <w:top w:val="none" w:sz="0" w:space="0" w:color="auto"/>
        <w:left w:val="none" w:sz="0" w:space="0" w:color="auto"/>
        <w:bottom w:val="none" w:sz="0" w:space="0" w:color="auto"/>
        <w:right w:val="none" w:sz="0" w:space="0" w:color="auto"/>
      </w:divBdr>
    </w:div>
    <w:div w:id="1158570478">
      <w:bodyDiv w:val="1"/>
      <w:marLeft w:val="0"/>
      <w:marRight w:val="0"/>
      <w:marTop w:val="0"/>
      <w:marBottom w:val="0"/>
      <w:divBdr>
        <w:top w:val="none" w:sz="0" w:space="0" w:color="auto"/>
        <w:left w:val="none" w:sz="0" w:space="0" w:color="auto"/>
        <w:bottom w:val="none" w:sz="0" w:space="0" w:color="auto"/>
        <w:right w:val="none" w:sz="0" w:space="0" w:color="auto"/>
      </w:divBdr>
    </w:div>
    <w:div w:id="161004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header" Target="header5.xml" Id="rId26" /><Relationship Type="http://schemas.openxmlformats.org/officeDocument/2006/relationships/customXml" Target="../customXml/item3.xml" Id="rId3" /><Relationship Type="http://schemas.openxmlformats.org/officeDocument/2006/relationships/hyperlink" Target="https://www.gov.uk/government/consultations/climate-change-agreements-consultation-on-a-new-scheme" TargetMode="Externa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yperlink" Target="cca@energysecurity.gov.uk"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yperlink" Target="mailto:cca@energysecurity.gov.uk" TargetMode="External" Id="rId20" /><Relationship Type="http://schemas.openxmlformats.org/officeDocument/2006/relationships/footer" Target="footer5.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youtube.com/watch?v=Za2RDzyur3s" TargetMode="External" Id="rId24" /><Relationship Type="http://schemas.openxmlformats.org/officeDocument/2006/relationships/fontTable" Target="fontTable.xml" Id="rId32"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header" Target="header4.xml" Id="rId23" /><Relationship Type="http://schemas.openxmlformats.org/officeDocument/2006/relationships/footer" Target="footer4.xml" Id="rId28" /><Relationship Type="http://schemas.openxmlformats.org/officeDocument/2006/relationships/footnotes" Target="footnotes.xml" Id="rId10" /><Relationship Type="http://schemas.openxmlformats.org/officeDocument/2006/relationships/image" Target="media/image2.png" Id="rId19" /><Relationship Type="http://schemas.openxmlformats.org/officeDocument/2006/relationships/footer" Target="footer6.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cca@energysecurity.gov.uk" TargetMode="External" Id="rId22" /><Relationship Type="http://schemas.openxmlformats.org/officeDocument/2006/relationships/header" Target="header6.xml" Id="rId27" /><Relationship Type="http://schemas.openxmlformats.org/officeDocument/2006/relationships/header" Target="header7.xml" Id="rId30" /><Relationship Type="http://schemas.openxmlformats.org/officeDocument/2006/relationships/settings" Target="settings.xml" Id="rId8" /><Relationship Type="http://schemas.openxmlformats.org/officeDocument/2006/relationships/hyperlink" Target="https://www.youtube.com/watch?v=Za2RDzyur3s." TargetMode="External" Id="R68ee9eb466394add" /></Relationships>
</file>

<file path=word/_rels/footnotes.xml.rels><?xml version="1.0" encoding="UTF-8" standalone="yes"?>
<Relationships xmlns="http://schemas.openxmlformats.org/package/2006/relationships"><Relationship Id="rId3" Type="http://schemas.openxmlformats.org/officeDocument/2006/relationships/hyperlink" Target="https://eur02.safelinks.protection.outlook.com/?url=https%3A%2F%2Fassets.publishing.service.gov.uk%2Fmedia%2F66a7da29ce1fd0da7b592f0b%2FDUKES_5.1.xlsx&amp;data=05%7C02%7Clucy.pearce%40energysecurity.gov.uk%7C2f1db8a927f54b054aa908dd0af5f02d%7Ccbac700502c143ebb497e6492d1b2dd8%7C0%7C0%7C638678773595894095%7CUnknown%7CTWFpbGZsb3d8eyJFbXB0eU1hcGkiOnRydWUsIlYiOiIwLjAuMDAwMCIsIlAiOiJXaW4zMiIsIkFOIjoiTWFpbCIsIldUIjoyfQ%3D%3D%7C0%7C%7C%7C&amp;sdata=nZBz4ufMTS0Xe0Eh4gVBRXOLBidkEVy%2FGCEqeErXPG8%3D&amp;reserved=0" TargetMode="External"/><Relationship Id="rId2" Type="http://schemas.openxmlformats.org/officeDocument/2006/relationships/hyperlink" Target="https://eur02.safelinks.protection.outlook.com/?url=https%3A%2F%2Fassets.publishing.service.gov.uk%2Fmedia%2F66a7da4349b9c0597fdb06c5%2FDUKES_5.3.xlsx&amp;data=05%7C02%7Clucy.pearce%40energysecurity.gov.uk%7C2f1db8a927f54b054aa908dd0af5f02d%7Ccbac700502c143ebb497e6492d1b2dd8%7C0%7C0%7C638678773595848307%7CUnknown%7CTWFpbGZsb3d8eyJFbXB0eU1hcGkiOnRydWUsIlYiOiIwLjAuMDAwMCIsIlAiOiJXaW4zMiIsIkFOIjoiTWFpbCIsIldUIjoyfQ%3D%3D%7C0%7C%7C%7C&amp;sdata=mf3SSrMb6OdljfWLZDYbi86jP2CM2IGXlJf2xK1BPeI%3D&amp;reserved=0" TargetMode="External"/><Relationship Id="rId1" Type="http://schemas.openxmlformats.org/officeDocument/2006/relationships/hyperlink" Target="https://www.gov.uk/government/consultations/climate-change-agreements-consultation-on-extension-and-future-scheme-2023" TargetMode="External"/><Relationship Id="rId5" Type="http://schemas.openxmlformats.org/officeDocument/2006/relationships/hyperlink" Target="https://assets.publishing.service.gov.uk/media/66a7a1c949b9c0597fdb066c/DUKES_2.6.xlsx" TargetMode="External"/><Relationship Id="rId4" Type="http://schemas.openxmlformats.org/officeDocument/2006/relationships/hyperlink" Target="https://www.gov.uk/government/publications/greenhouse-gas-reporting-conversion-factors-20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3a53fee-ec10-431f-8d14-cd8bb067a041">
      <Value>3</Value>
      <Value>2</Value>
      <Value>1</Value>
    </TaxCatchAll>
    <_dlc_DocId xmlns="83a53fee-ec10-431f-8d14-cd8bb067a041">4U4QJRKE6EKX-13745902-214</_dlc_DocId>
    <_dlc_DocIdUrl xmlns="83a53fee-ec10-431f-8d14-cd8bb067a041">
      <Url>https://beisgov.sharepoint.com/sites/CCA2025-DESNZRicardoSharedChat-EXT-OS/_layouts/15/DocIdRedir.aspx?ID=4U4QJRKE6EKX-13745902-214</Url>
      <Description>4U4QJRKE6EKX-13745902-214</Description>
    </_dlc_DocIdUrl>
    <c6f593ada1854b629148449de059396b xmlns="0f9fa326-da26-4ea8-b6a9-645e8136fe1d">
      <Terms xmlns="http://schemas.microsoft.com/office/infopath/2007/PartnerControls">
        <TermInfo xmlns="http://schemas.microsoft.com/office/infopath/2007/PartnerControls">
          <TermName xmlns="http://schemas.microsoft.com/office/infopath/2007/PartnerControls">DESNZ</TermName>
          <TermId xmlns="http://schemas.microsoft.com/office/infopath/2007/PartnerControls">bb335eaf-f697-16af-0755-aa8d4628e736</TermId>
        </TermInfo>
      </Terms>
    </c6f593ada1854b629148449de059396b>
    <LegacyData xmlns="aaacb922-5235-4a66-b188-303b9b46fbd7" xsi:nil="true"/>
    <m817f42addf14c9a838da36e78800043 xmlns="0f9fa326-da26-4ea8-b6a9-645e8136fe1d">
      <Terms xmlns="http://schemas.microsoft.com/office/infopath/2007/PartnerControls">
        <TermInfo xmlns="http://schemas.microsoft.com/office/infopath/2007/PartnerControls">
          <TermName xmlns="http://schemas.microsoft.com/office/infopath/2007/PartnerControls">Climate and energy</TermName>
          <TermId xmlns="http://schemas.microsoft.com/office/infopath/2007/PartnerControls">1bedeac7-37cb-1c32-91b0-ff1f772bc125</TermId>
        </TermInfo>
      </Terms>
    </m817f42addf14c9a838da36e78800043>
    <h573c97cf80c4aa6b446c5363dc3ac94 xmlns="0f9fa326-da26-4ea8-b6a9-645e8136fe1d">
      <Terms xmlns="http://schemas.microsoft.com/office/infopath/2007/PartnerControls">
        <TermInfo xmlns="http://schemas.microsoft.com/office/infopath/2007/PartnerControls">
          <TermName xmlns="http://schemas.microsoft.com/office/infopath/2007/PartnerControls">Industrial Energy</TermName>
          <TermId xmlns="http://schemas.microsoft.com/office/infopath/2007/PartnerControls">44f579ff-0abe-8507-15ce-0b113ca397b6</TermId>
        </TermInfo>
      </Terms>
    </h573c97cf80c4aa6b446c5363dc3ac9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Core Document" ma:contentTypeID="0x0101004691A8DE0991884F8E90AD6474FC73730100B1041E117522354E8E45654C2105E2B6" ma:contentTypeVersion="12" ma:contentTypeDescription="Create a new document." ma:contentTypeScope="" ma:versionID="e6e971fbc21db07c877a50ac5d754230">
  <xsd:schema xmlns:xsd="http://www.w3.org/2001/XMLSchema" xmlns:xs="http://www.w3.org/2001/XMLSchema" xmlns:p="http://schemas.microsoft.com/office/2006/metadata/properties" xmlns:ns2="0f9fa326-da26-4ea8-b6a9-645e8136fe1d" xmlns:ns3="83a53fee-ec10-431f-8d14-cd8bb067a041" xmlns:ns4="aaacb922-5235-4a66-b188-303b9b46fbd7" xmlns:ns5="1fa3d2d1-b411-4c0f-bb20-4774a8b042c9" targetNamespace="http://schemas.microsoft.com/office/2006/metadata/properties" ma:root="true" ma:fieldsID="1924f162121245fbea51b6e064359aba" ns2:_="" ns3:_="" ns4:_="" ns5:_="">
    <xsd:import namespace="0f9fa326-da26-4ea8-b6a9-645e8136fe1d"/>
    <xsd:import namespace="83a53fee-ec10-431f-8d14-cd8bb067a041"/>
    <xsd:import namespace="aaacb922-5235-4a66-b188-303b9b46fbd7"/>
    <xsd:import namespace="1fa3d2d1-b411-4c0f-bb20-4774a8b042c9"/>
    <xsd:element name="properties">
      <xsd:complexType>
        <xsd:sequence>
          <xsd:element name="documentManagement">
            <xsd:complexType>
              <xsd:all>
                <xsd:element ref="ns2:c6f593ada1854b629148449de059396b" minOccurs="0"/>
                <xsd:element ref="ns3:TaxCatchAll" minOccurs="0"/>
                <xsd:element ref="ns3:TaxCatchAllLabel" minOccurs="0"/>
                <xsd:element ref="ns2:m817f42addf14c9a838da36e78800043" minOccurs="0"/>
                <xsd:element ref="ns2:h573c97cf80c4aa6b446c5363dc3ac94" minOccurs="0"/>
                <xsd:element ref="ns4:LegacyData" minOccurs="0"/>
                <xsd:element ref="ns3:_dlc_DocId" minOccurs="0"/>
                <xsd:element ref="ns3:_dlc_DocIdPersistId" minOccurs="0"/>
                <xsd:element ref="ns3:_dlc_DocIdUrl" minOccurs="0"/>
                <xsd:element ref="ns5:MediaServiceMetadata" minOccurs="0"/>
                <xsd:element ref="ns5:MediaServiceFastMetadata" minOccurs="0"/>
                <xsd:element ref="ns5:MediaServiceSearchProperties" minOccurs="0"/>
                <xsd:element ref="ns5:MediaServiceObjectDetectorVersions" minOccurs="0"/>
                <xsd:element ref="ns5:MediaServiceDateTaken" minOccurs="0"/>
                <xsd:element ref="ns5:MediaServiceGenerationTime" minOccurs="0"/>
                <xsd:element ref="ns5:MediaServiceEventHashCode"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fa326-da26-4ea8-b6a9-645e8136fe1d" elementFormDefault="qualified">
    <xsd:import namespace="http://schemas.microsoft.com/office/2006/documentManagement/types"/>
    <xsd:import namespace="http://schemas.microsoft.com/office/infopath/2007/PartnerControls"/>
    <xsd:element name="c6f593ada1854b629148449de059396b" ma:index="8" nillable="true" ma:taxonomy="true" ma:internalName="c6f593ada1854b629148449de059396b" ma:taxonomyFieldName="KIM_GovernmentBody" ma:displayName="Government Body" ma:default="3;#DESNZ|bb335eaf-f697-16af-0755-aa8d4628e736" ma:fieldId="{c6f593ad-a185-4b62-9148-449de059396b}" ma:sspId="9b0aeba9-2bce-41c2-8545-5d12d676a674" ma:termSetId="46784332-da01-4f4a-94fa-2a245cb438b3" ma:anchorId="00000000-0000-0000-0000-000000000000" ma:open="false" ma:isKeyword="false">
      <xsd:complexType>
        <xsd:sequence>
          <xsd:element ref="pc:Terms" minOccurs="0" maxOccurs="1"/>
        </xsd:sequence>
      </xsd:complexType>
    </xsd:element>
    <xsd:element name="m817f42addf14c9a838da36e78800043" ma:index="12" nillable="true" ma:taxonomy="true" ma:internalName="m817f42addf14c9a838da36e78800043" ma:taxonomyFieldName="KIM_Function" ma:displayName="Function" ma:default="1;#Climate and energy|1bedeac7-37cb-1c32-91b0-ff1f772bc125" ma:fieldId="{6817f42a-ddf1-4c9a-838d-a36e78800043}" ma:sspId="9b0aeba9-2bce-41c2-8545-5d12d676a674" ma:termSetId="8a8c3714-5ee2-45f9-8c60-591b9d070299" ma:anchorId="00000000-0000-0000-0000-000000000000" ma:open="false" ma:isKeyword="false">
      <xsd:complexType>
        <xsd:sequence>
          <xsd:element ref="pc:Terms" minOccurs="0" maxOccurs="1"/>
        </xsd:sequence>
      </xsd:complexType>
    </xsd:element>
    <xsd:element name="h573c97cf80c4aa6b446c5363dc3ac94" ma:index="14" nillable="true" ma:taxonomy="true" ma:internalName="h573c97cf80c4aa6b446c5363dc3ac94" ma:taxonomyFieldName="KIM_Activity" ma:displayName="Activity" ma:default="2;#Industrial Energy|44f579ff-0abe-8507-15ce-0b113ca397b6" ma:fieldId="{1573c97c-f80c-4aa6-b446-c5363dc3ac94}" ma:sspId="9b0aeba9-2bce-41c2-8545-5d12d676a674" ma:termSetId="5c6dcaef-f335-486f-b10e-5a74f10247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3a53fee-ec10-431f-8d14-cd8bb067a04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0aca851-f89b-4fb9-8bbd-3b6eb5d9b4b0}" ma:internalName="TaxCatchAll" ma:showField="CatchAllData" ma:web="83a53fee-ec10-431f-8d14-cd8bb067a04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0aca851-f89b-4fb9-8bbd-3b6eb5d9b4b0}" ma:internalName="TaxCatchAllLabel" ma:readOnly="true" ma:showField="CatchAllDataLabel" ma:web="83a53fee-ec10-431f-8d14-cd8bb067a041">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6"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3d2d1-b411-4c0f-bb20-4774a8b042c9"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95F317-B0CA-424B-A55F-FC4F97BA4381}">
  <ds:schemaRefs>
    <ds:schemaRef ds:uri="http://schemas.openxmlformats.org/officeDocument/2006/bibliography"/>
  </ds:schemaRefs>
</ds:datastoreItem>
</file>

<file path=customXml/itemProps2.xml><?xml version="1.0" encoding="utf-8"?>
<ds:datastoreItem xmlns:ds="http://schemas.openxmlformats.org/officeDocument/2006/customXml" ds:itemID="{D11AB644-53A0-4D21-B8D2-AA8837FAB813}">
  <ds:schemaRefs>
    <ds:schemaRef ds:uri="http://schemas.microsoft.com/office/2006/metadata/properties"/>
    <ds:schemaRef ds:uri="http://schemas.microsoft.com/office/infopath/2007/PartnerControls"/>
    <ds:schemaRef ds:uri="83a53fee-ec10-431f-8d14-cd8bb067a041"/>
    <ds:schemaRef ds:uri="0f9fa326-da26-4ea8-b6a9-645e8136fe1d"/>
    <ds:schemaRef ds:uri="aaacb922-5235-4a66-b188-303b9b46fbd7"/>
  </ds:schemaRefs>
</ds:datastoreItem>
</file>

<file path=customXml/itemProps3.xml><?xml version="1.0" encoding="utf-8"?>
<ds:datastoreItem xmlns:ds="http://schemas.openxmlformats.org/officeDocument/2006/customXml" ds:itemID="{F458D887-61EB-4D29-B1FA-ADD84BBCD86B}">
  <ds:schemaRefs>
    <ds:schemaRef ds:uri="http://schemas.microsoft.com/sharepoint/v3/contenttype/forms"/>
  </ds:schemaRefs>
</ds:datastoreItem>
</file>

<file path=customXml/itemProps4.xml><?xml version="1.0" encoding="utf-8"?>
<ds:datastoreItem xmlns:ds="http://schemas.openxmlformats.org/officeDocument/2006/customXml" ds:itemID="{CF67F9D6-B2D1-412B-A6CF-8889A6A8451F}">
  <ds:schemaRefs>
    <ds:schemaRef ds:uri="http://schemas.microsoft.com/sharepoint/events"/>
  </ds:schemaRefs>
</ds:datastoreItem>
</file>

<file path=customXml/itemProps5.xml><?xml version="1.0" encoding="utf-8"?>
<ds:datastoreItem xmlns:ds="http://schemas.openxmlformats.org/officeDocument/2006/customXml" ds:itemID="{C0BCB6D8-1852-40EC-8536-EF83FA5CB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fa326-da26-4ea8-b6a9-645e8136fe1d"/>
    <ds:schemaRef ds:uri="83a53fee-ec10-431f-8d14-cd8bb067a041"/>
    <ds:schemaRef ds:uri="aaacb922-5235-4a66-b188-303b9b46fbd7"/>
    <ds:schemaRef ds:uri="1fa3d2d1-b411-4c0f-bb20-4774a8b04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Montgomery, Luke (Energy Security)</dc:creator>
  <cp:keywords/>
  <dc:description/>
  <cp:lastModifiedBy>Montgomery, Luke (Energy Security)</cp:lastModifiedBy>
  <cp:revision>578</cp:revision>
  <dcterms:created xsi:type="dcterms:W3CDTF">2025-02-14T01:45:00Z</dcterms:created>
  <dcterms:modified xsi:type="dcterms:W3CDTF">2025-02-18T15:48:16Z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819be43,4903c5a,4bc21262</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ClassificationContentMarkingFooterShapeIds">
    <vt:lpwstr>612e70ef,6d41c079,41216936</vt:lpwstr>
  </property>
  <property fmtid="{D5CDD505-2E9C-101B-9397-08002B2CF9AE}" pid="6" name="ClassificationContentMarkingFooterFontProps">
    <vt:lpwstr>#000000,10,Calibri</vt:lpwstr>
  </property>
  <property fmtid="{D5CDD505-2E9C-101B-9397-08002B2CF9AE}" pid="7" name="ClassificationContentMarkingFooterText">
    <vt:lpwstr>OFFICIAL</vt:lpwstr>
  </property>
  <property fmtid="{D5CDD505-2E9C-101B-9397-08002B2CF9AE}" pid="8" name="MSIP_Label_ba62f585-b40f-4ab9-bafe-39150f03d124_Enabled">
    <vt:lpwstr>true</vt:lpwstr>
  </property>
  <property fmtid="{D5CDD505-2E9C-101B-9397-08002B2CF9AE}" pid="9" name="MSIP_Label_ba62f585-b40f-4ab9-bafe-39150f03d124_SetDate">
    <vt:lpwstr>2024-12-09T19:12:15Z</vt:lpwstr>
  </property>
  <property fmtid="{D5CDD505-2E9C-101B-9397-08002B2CF9AE}" pid="10" name="MSIP_Label_ba62f585-b40f-4ab9-bafe-39150f03d124_Method">
    <vt:lpwstr>Standard</vt:lpwstr>
  </property>
  <property fmtid="{D5CDD505-2E9C-101B-9397-08002B2CF9AE}" pid="11" name="MSIP_Label_ba62f585-b40f-4ab9-bafe-39150f03d124_Name">
    <vt:lpwstr>OFFICIAL</vt:lpwstr>
  </property>
  <property fmtid="{D5CDD505-2E9C-101B-9397-08002B2CF9AE}" pid="12" name="MSIP_Label_ba62f585-b40f-4ab9-bafe-39150f03d124_SiteId">
    <vt:lpwstr>cbac7005-02c1-43eb-b497-e6492d1b2dd8</vt:lpwstr>
  </property>
  <property fmtid="{D5CDD505-2E9C-101B-9397-08002B2CF9AE}" pid="13" name="MSIP_Label_ba62f585-b40f-4ab9-bafe-39150f03d124_ActionId">
    <vt:lpwstr>661798db-9922-4218-a2c5-9931d57c894e</vt:lpwstr>
  </property>
  <property fmtid="{D5CDD505-2E9C-101B-9397-08002B2CF9AE}" pid="14" name="MSIP_Label_ba62f585-b40f-4ab9-bafe-39150f03d124_ContentBits">
    <vt:lpwstr>3</vt:lpwstr>
  </property>
  <property fmtid="{D5CDD505-2E9C-101B-9397-08002B2CF9AE}" pid="15" name="ContentTypeId">
    <vt:lpwstr>0x0101004691A8DE0991884F8E90AD6474FC73730100B1041E117522354E8E45654C2105E2B6</vt:lpwstr>
  </property>
  <property fmtid="{D5CDD505-2E9C-101B-9397-08002B2CF9AE}" pid="16" name="Business Unit">
    <vt:lpwstr>6</vt:lpwstr>
  </property>
  <property fmtid="{D5CDD505-2E9C-101B-9397-08002B2CF9AE}" pid="17" name="MediaServiceImageTags">
    <vt:lpwstr/>
  </property>
  <property fmtid="{D5CDD505-2E9C-101B-9397-08002B2CF9AE}" pid="18" name="Business_x0020_Unit">
    <vt:lpwstr>6</vt:lpwstr>
  </property>
  <property fmtid="{D5CDD505-2E9C-101B-9397-08002B2CF9AE}" pid="19" name="Document Type">
    <vt:lpwstr/>
  </property>
  <property fmtid="{D5CDD505-2E9C-101B-9397-08002B2CF9AE}" pid="20" name="Document_x0020_Type">
    <vt:lpwstr/>
  </property>
  <property fmtid="{D5CDD505-2E9C-101B-9397-08002B2CF9AE}" pid="21" name="KIM_Activity">
    <vt:lpwstr>2;#Industrial Energy|44f579ff-0abe-8507-15ce-0b113ca397b6</vt:lpwstr>
  </property>
  <property fmtid="{D5CDD505-2E9C-101B-9397-08002B2CF9AE}" pid="22" name="KIM_GovernmentBody">
    <vt:lpwstr>3;#DESNZ|bb335eaf-f697-16af-0755-aa8d4628e736</vt:lpwstr>
  </property>
  <property fmtid="{D5CDD505-2E9C-101B-9397-08002B2CF9AE}" pid="23" name="KIM_Function">
    <vt:lpwstr>1;#Climate and energy|1bedeac7-37cb-1c32-91b0-ff1f772bc125</vt:lpwstr>
  </property>
  <property fmtid="{D5CDD505-2E9C-101B-9397-08002B2CF9AE}" pid="24" name="_dlc_DocIdItemGuid">
    <vt:lpwstr>60367135-3d83-42db-bc4f-1b7f2d505572</vt:lpwstr>
  </property>
</Properties>
</file>