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82A2" w14:textId="77777777" w:rsidR="000B61CE" w:rsidRDefault="000B61CE" w:rsidP="00520759">
      <w:pPr>
        <w:spacing w:line="276" w:lineRule="auto"/>
        <w:jc w:val="both"/>
        <w:rPr>
          <w:rFonts w:ascii="Roboto" w:hAnsi="Roboto"/>
          <w:b/>
          <w:bCs/>
          <w:sz w:val="24"/>
          <w:szCs w:val="24"/>
        </w:rPr>
      </w:pPr>
    </w:p>
    <w:p w14:paraId="15873FB9" w14:textId="68F6D142" w:rsidR="008C1749" w:rsidRPr="000B61CE" w:rsidRDefault="004F4FD1" w:rsidP="00520759">
      <w:pPr>
        <w:spacing w:line="276" w:lineRule="auto"/>
        <w:jc w:val="both"/>
        <w:rPr>
          <w:rFonts w:ascii="Roboto" w:hAnsi="Roboto"/>
          <w:b/>
          <w:bCs/>
          <w:sz w:val="28"/>
          <w:szCs w:val="28"/>
        </w:rPr>
      </w:pPr>
      <w:r>
        <w:rPr>
          <w:rFonts w:ascii="Roboto" w:hAnsi="Roboto"/>
          <w:b/>
          <w:bCs/>
          <w:sz w:val="28"/>
          <w:szCs w:val="28"/>
        </w:rPr>
        <w:t xml:space="preserve">TechUK Consultation Response: </w:t>
      </w:r>
      <w:r w:rsidRPr="004F4FD1">
        <w:rPr>
          <w:rFonts w:ascii="Roboto" w:hAnsi="Roboto"/>
          <w:b/>
          <w:bCs/>
          <w:i/>
          <w:iCs/>
          <w:sz w:val="28"/>
          <w:szCs w:val="28"/>
        </w:rPr>
        <w:t>Climate Change Agreements: consultation on extension to 31 March 2027 &amp; further proposals on any potential future scheme</w:t>
      </w:r>
    </w:p>
    <w:p w14:paraId="102D69C6" w14:textId="4CC4E4A8" w:rsidR="003C1DBE" w:rsidRPr="003C1DBE" w:rsidRDefault="006F2D07" w:rsidP="00520759">
      <w:pPr>
        <w:spacing w:line="276" w:lineRule="auto"/>
        <w:jc w:val="both"/>
        <w:rPr>
          <w:rFonts w:ascii="Roboto" w:hAnsi="Roboto"/>
          <w:b/>
          <w:bCs/>
          <w:color w:val="767171" w:themeColor="background2" w:themeShade="80"/>
        </w:rPr>
      </w:pPr>
      <w:r>
        <w:rPr>
          <w:rFonts w:ascii="Roboto" w:hAnsi="Roboto"/>
          <w:b/>
          <w:bCs/>
          <w:color w:val="767171" w:themeColor="background2" w:themeShade="80"/>
        </w:rPr>
        <w:t xml:space="preserve">techUK </w:t>
      </w:r>
      <w:r w:rsidR="004F4FD1">
        <w:rPr>
          <w:rFonts w:ascii="Roboto" w:hAnsi="Roboto"/>
          <w:b/>
          <w:bCs/>
          <w:color w:val="767171" w:themeColor="background2" w:themeShade="80"/>
        </w:rPr>
        <w:t>on behalf of the techUK Data Centres Sector members</w:t>
      </w:r>
    </w:p>
    <w:p w14:paraId="64268BEE" w14:textId="54F7B155" w:rsidR="005E7F09" w:rsidRPr="00FA39BB" w:rsidRDefault="001617A6" w:rsidP="000B61CE">
      <w:pPr>
        <w:spacing w:line="276" w:lineRule="auto"/>
        <w:jc w:val="right"/>
        <w:rPr>
          <w:rFonts w:ascii="Roboto" w:hAnsi="Roboto"/>
        </w:rPr>
      </w:pPr>
      <w:r w:rsidRPr="00FA39BB">
        <w:rPr>
          <w:rFonts w:ascii="Roboto" w:hAnsi="Roboto"/>
        </w:rPr>
        <w:t xml:space="preserve">10 </w:t>
      </w:r>
      <w:r w:rsidR="000E40AC" w:rsidRPr="00FA39BB">
        <w:rPr>
          <w:rFonts w:ascii="Roboto" w:hAnsi="Roboto"/>
        </w:rPr>
        <w:t>May</w:t>
      </w:r>
      <w:r w:rsidR="000E40AC" w:rsidRPr="00FA39BB">
        <w:rPr>
          <w:rFonts w:ascii="Roboto" w:hAnsi="Roboto"/>
        </w:rPr>
        <w:t xml:space="preserve"> 2023</w:t>
      </w:r>
    </w:p>
    <w:p w14:paraId="680BC2D0" w14:textId="77777777" w:rsidR="00F43D50" w:rsidRDefault="00F43D50" w:rsidP="00F43D50">
      <w:pPr>
        <w:spacing w:line="276" w:lineRule="auto"/>
        <w:rPr>
          <w:rFonts w:ascii="Roboto" w:hAnsi="Roboto"/>
          <w:sz w:val="24"/>
          <w:szCs w:val="24"/>
          <w:lang w:val="en-US"/>
        </w:rPr>
      </w:pPr>
    </w:p>
    <w:p w14:paraId="27C88999" w14:textId="176BEA79" w:rsidR="00F43D50" w:rsidRPr="00F43D50" w:rsidRDefault="00F43D50" w:rsidP="00110726">
      <w:pPr>
        <w:spacing w:line="276" w:lineRule="auto"/>
        <w:jc w:val="both"/>
        <w:rPr>
          <w:rFonts w:ascii="Roboto" w:hAnsi="Roboto"/>
          <w:lang w:val="en-US"/>
        </w:rPr>
      </w:pPr>
      <w:r w:rsidRPr="00F43D50">
        <w:rPr>
          <w:rFonts w:ascii="Roboto" w:hAnsi="Roboto"/>
          <w:lang w:val="en-US"/>
        </w:rPr>
        <w:t>techUK welcomes the opportunity to respond to the</w:t>
      </w:r>
      <w:r w:rsidR="009826B3">
        <w:rPr>
          <w:rFonts w:ascii="Roboto" w:hAnsi="Roboto"/>
          <w:lang w:val="en-US"/>
        </w:rPr>
        <w:t xml:space="preserve"> Department for Energy Security and Net Zero’s (DESNZ)</w:t>
      </w:r>
      <w:r w:rsidRPr="00F43D50">
        <w:rPr>
          <w:rFonts w:ascii="Roboto" w:hAnsi="Roboto"/>
          <w:lang w:val="en-US"/>
        </w:rPr>
        <w:t xml:space="preserve"> </w:t>
      </w:r>
      <w:hyperlink r:id="rId10" w:history="1">
        <w:r w:rsidRPr="00F43D50">
          <w:rPr>
            <w:rStyle w:val="Hyperlink"/>
            <w:rFonts w:ascii="Roboto" w:hAnsi="Roboto"/>
            <w:lang w:val="en-US"/>
          </w:rPr>
          <w:t>consultation on the Climate Change Agreement</w:t>
        </w:r>
        <w:r w:rsidR="009826B3" w:rsidRPr="009826B3">
          <w:rPr>
            <w:rStyle w:val="Hyperlink"/>
            <w:rFonts w:ascii="Roboto" w:hAnsi="Roboto"/>
            <w:lang w:val="en-US"/>
          </w:rPr>
          <w:t>s</w:t>
        </w:r>
      </w:hyperlink>
      <w:r w:rsidRPr="00F43D50">
        <w:rPr>
          <w:rFonts w:ascii="Roboto" w:hAnsi="Roboto"/>
          <w:lang w:val="en-US"/>
        </w:rPr>
        <w:t xml:space="preserve"> </w:t>
      </w:r>
      <w:r w:rsidR="00FA39BB">
        <w:rPr>
          <w:rFonts w:ascii="Roboto" w:hAnsi="Roboto"/>
          <w:lang w:val="en-US"/>
        </w:rPr>
        <w:t xml:space="preserve">(CCA) - </w:t>
      </w:r>
      <w:r w:rsidRPr="00F43D50">
        <w:rPr>
          <w:rFonts w:ascii="Roboto" w:hAnsi="Roboto"/>
          <w:lang w:val="en-US"/>
        </w:rPr>
        <w:t>both extension and future scheme</w:t>
      </w:r>
      <w:r w:rsidR="00FA39BB">
        <w:rPr>
          <w:rFonts w:ascii="Roboto" w:hAnsi="Roboto"/>
          <w:lang w:val="en-US"/>
        </w:rPr>
        <w:t xml:space="preserve"> -</w:t>
      </w:r>
      <w:r w:rsidRPr="00FA39BB">
        <w:rPr>
          <w:rFonts w:ascii="Roboto" w:hAnsi="Roboto"/>
          <w:lang w:val="en-US"/>
        </w:rPr>
        <w:t xml:space="preserve"> on behalf of our data </w:t>
      </w:r>
      <w:proofErr w:type="spellStart"/>
      <w:r w:rsidRPr="00FA39BB">
        <w:rPr>
          <w:rFonts w:ascii="Roboto" w:hAnsi="Roboto"/>
          <w:lang w:val="en-US"/>
        </w:rPr>
        <w:t>centre</w:t>
      </w:r>
      <w:proofErr w:type="spellEnd"/>
      <w:r w:rsidRPr="00FA39BB">
        <w:rPr>
          <w:rFonts w:ascii="Roboto" w:hAnsi="Roboto"/>
          <w:lang w:val="en-US"/>
        </w:rPr>
        <w:t xml:space="preserve"> sector members.</w:t>
      </w:r>
    </w:p>
    <w:p w14:paraId="535388D3" w14:textId="77D271DA" w:rsidR="00F43D50" w:rsidRPr="00F43D50" w:rsidRDefault="00F43D50" w:rsidP="00110726">
      <w:pPr>
        <w:spacing w:line="276" w:lineRule="auto"/>
        <w:jc w:val="both"/>
        <w:rPr>
          <w:rFonts w:ascii="Roboto" w:hAnsi="Roboto"/>
          <w:lang w:val="en-US"/>
        </w:rPr>
      </w:pPr>
      <w:r w:rsidRPr="00F43D50">
        <w:rPr>
          <w:rFonts w:ascii="Roboto" w:hAnsi="Roboto"/>
          <w:lang w:val="en-US"/>
        </w:rPr>
        <w:t xml:space="preserve">techUK is the UK trade body for the digital technology industry and we administer the Climate Change Agreement for the UK’s data </w:t>
      </w:r>
      <w:proofErr w:type="spellStart"/>
      <w:r w:rsidRPr="00F43D50">
        <w:rPr>
          <w:rFonts w:ascii="Roboto" w:hAnsi="Roboto"/>
          <w:lang w:val="en-US"/>
        </w:rPr>
        <w:t>centre</w:t>
      </w:r>
      <w:proofErr w:type="spellEnd"/>
      <w:r w:rsidRPr="00F43D50">
        <w:rPr>
          <w:rFonts w:ascii="Roboto" w:hAnsi="Roboto"/>
          <w:lang w:val="en-US"/>
        </w:rPr>
        <w:t xml:space="preserve"> sector. Over 170 data </w:t>
      </w:r>
      <w:proofErr w:type="spellStart"/>
      <w:r w:rsidRPr="00F43D50">
        <w:rPr>
          <w:rFonts w:ascii="Roboto" w:hAnsi="Roboto"/>
          <w:lang w:val="en-US"/>
        </w:rPr>
        <w:t>centre</w:t>
      </w:r>
      <w:proofErr w:type="spellEnd"/>
      <w:r w:rsidRPr="00F43D50">
        <w:rPr>
          <w:rFonts w:ascii="Roboto" w:hAnsi="Roboto"/>
          <w:lang w:val="en-US"/>
        </w:rPr>
        <w:t xml:space="preserve"> sites currently participate in the scheme, which provides much-needed support, helping to level the playing field on energy costs between the UK and other markets, and boosting investor confidence.   </w:t>
      </w:r>
    </w:p>
    <w:p w14:paraId="2479AEEC" w14:textId="0A9E9583" w:rsidR="00F43D50" w:rsidRPr="00F43D50" w:rsidRDefault="00F43D50" w:rsidP="00110726">
      <w:pPr>
        <w:spacing w:line="276" w:lineRule="auto"/>
        <w:jc w:val="both"/>
        <w:rPr>
          <w:rFonts w:ascii="Roboto" w:hAnsi="Roboto"/>
          <w:lang w:val="en-US"/>
        </w:rPr>
      </w:pPr>
      <w:r w:rsidRPr="00F43D50">
        <w:rPr>
          <w:rFonts w:ascii="Roboto" w:hAnsi="Roboto"/>
          <w:lang w:val="en-US"/>
        </w:rPr>
        <w:t>We welcome the decision to extend the scheme and to reopen it to new participants.  This is particularly welcome because our sector is growing, and the premature closure placed new entrants to the market at a disadvantage and generated uncertainty.</w:t>
      </w:r>
    </w:p>
    <w:p w14:paraId="6A610528" w14:textId="3BE9796A" w:rsidR="00F43D50" w:rsidRPr="00F43D50" w:rsidRDefault="00F43D50" w:rsidP="00110726">
      <w:pPr>
        <w:spacing w:line="276" w:lineRule="auto"/>
        <w:jc w:val="both"/>
        <w:rPr>
          <w:rFonts w:ascii="Roboto" w:hAnsi="Roboto"/>
          <w:bCs/>
          <w:lang w:val="en-US"/>
        </w:rPr>
      </w:pPr>
      <w:r w:rsidRPr="00F43D50">
        <w:rPr>
          <w:rFonts w:ascii="Roboto" w:hAnsi="Roboto"/>
          <w:bCs/>
        </w:rPr>
        <w:t>The purpose of the scheme was originally intended to primarily to protect energy intensive sectors.  However, recently the scope and intention of the CCA seems to have shifted as an energy efficiency scheme. The primary objective of the CCA was to protect UK business competitiveness from unilaterally high energy costs and incentivise investment (see below).  While improved energy efficiency was an important condition, it was not the primary aim.</w:t>
      </w:r>
    </w:p>
    <w:p w14:paraId="270FB98E" w14:textId="77777777" w:rsidR="00F43D50" w:rsidRPr="00F43D50" w:rsidRDefault="00F43D50" w:rsidP="00F43D50">
      <w:pPr>
        <w:spacing w:line="276" w:lineRule="auto"/>
        <w:rPr>
          <w:rFonts w:ascii="Roboto" w:hAnsi="Roboto"/>
          <w:b/>
          <w:lang w:val="en-US"/>
        </w:rPr>
      </w:pPr>
      <w:r w:rsidRPr="00F43D50">
        <w:rPr>
          <w:rFonts w:ascii="Roboto" w:hAnsi="Roboto"/>
          <w:b/>
        </w:rPr>
        <w:t>Carbon targets and Net Zero</w:t>
      </w:r>
    </w:p>
    <w:p w14:paraId="557603D9" w14:textId="4ED7B510" w:rsidR="00F43D50" w:rsidRPr="00F43D50" w:rsidRDefault="00F43D50" w:rsidP="00110726">
      <w:pPr>
        <w:spacing w:line="276" w:lineRule="auto"/>
        <w:jc w:val="both"/>
        <w:rPr>
          <w:rFonts w:ascii="Roboto" w:hAnsi="Roboto"/>
          <w:bCs/>
          <w:lang w:val="en-US"/>
        </w:rPr>
      </w:pPr>
      <w:r w:rsidRPr="00F43D50">
        <w:rPr>
          <w:rFonts w:ascii="Roboto" w:hAnsi="Roboto"/>
          <w:bCs/>
          <w:lang w:val="en-US"/>
        </w:rPr>
        <w:t xml:space="preserve">techUK and the data </w:t>
      </w:r>
      <w:proofErr w:type="spellStart"/>
      <w:r w:rsidRPr="00F43D50">
        <w:rPr>
          <w:rFonts w:ascii="Roboto" w:hAnsi="Roboto"/>
          <w:bCs/>
          <w:lang w:val="en-US"/>
        </w:rPr>
        <w:t>centres</w:t>
      </w:r>
      <w:proofErr w:type="spellEnd"/>
      <w:r w:rsidRPr="00F43D50">
        <w:rPr>
          <w:rFonts w:ascii="Roboto" w:hAnsi="Roboto"/>
          <w:bCs/>
          <w:lang w:val="en-US"/>
        </w:rPr>
        <w:t xml:space="preserve"> </w:t>
      </w:r>
      <w:proofErr w:type="gramStart"/>
      <w:r w:rsidRPr="00F43D50">
        <w:rPr>
          <w:rFonts w:ascii="Roboto" w:hAnsi="Roboto"/>
          <w:bCs/>
          <w:lang w:val="en-US"/>
        </w:rPr>
        <w:t>operators</w:t>
      </w:r>
      <w:proofErr w:type="gramEnd"/>
      <w:r w:rsidRPr="00F43D50">
        <w:rPr>
          <w:rFonts w:ascii="Roboto" w:hAnsi="Roboto"/>
          <w:bCs/>
          <w:lang w:val="en-US"/>
        </w:rPr>
        <w:t xml:space="preserve"> sector would encourage for carbon savings being </w:t>
      </w:r>
      <w:proofErr w:type="spellStart"/>
      <w:r w:rsidRPr="00F43D50">
        <w:rPr>
          <w:rFonts w:ascii="Roboto" w:hAnsi="Roboto"/>
          <w:bCs/>
          <w:lang w:val="en-US"/>
        </w:rPr>
        <w:t>prioritised</w:t>
      </w:r>
      <w:proofErr w:type="spellEnd"/>
      <w:r w:rsidRPr="00F43D50">
        <w:rPr>
          <w:rFonts w:ascii="Roboto" w:hAnsi="Roboto"/>
          <w:bCs/>
          <w:lang w:val="en-US"/>
        </w:rPr>
        <w:t xml:space="preserve">, as this would expand the scope to include enterprise (in-house/non-commercial) data </w:t>
      </w:r>
      <w:proofErr w:type="spellStart"/>
      <w:r w:rsidRPr="00F43D50">
        <w:rPr>
          <w:rFonts w:ascii="Roboto" w:hAnsi="Roboto"/>
          <w:bCs/>
          <w:lang w:val="en-US"/>
        </w:rPr>
        <w:t>centres</w:t>
      </w:r>
      <w:proofErr w:type="spellEnd"/>
      <w:r w:rsidRPr="00F43D50">
        <w:rPr>
          <w:rFonts w:ascii="Roboto" w:hAnsi="Roboto"/>
          <w:bCs/>
          <w:lang w:val="en-US"/>
        </w:rPr>
        <w:t xml:space="preserve"> and it would drive energy stewardship, improved efficiency, transparency, benchmarking and accountability within the part of the sector that is currently ineligible for the scheme but where there is potential for significant energy savings. </w:t>
      </w:r>
    </w:p>
    <w:p w14:paraId="2C5885F6" w14:textId="614D9645" w:rsidR="00F43D50" w:rsidRPr="00F43D50" w:rsidRDefault="00F43D50" w:rsidP="00110726">
      <w:pPr>
        <w:spacing w:line="276" w:lineRule="auto"/>
        <w:jc w:val="both"/>
        <w:rPr>
          <w:rFonts w:ascii="Roboto" w:hAnsi="Roboto"/>
          <w:bCs/>
          <w:lang w:val="en-US"/>
        </w:rPr>
      </w:pPr>
      <w:proofErr w:type="gramStart"/>
      <w:r w:rsidRPr="00F43D50">
        <w:rPr>
          <w:rFonts w:ascii="Roboto" w:hAnsi="Roboto"/>
          <w:bCs/>
          <w:lang w:val="en-US"/>
        </w:rPr>
        <w:t>CCA</w:t>
      </w:r>
      <w:proofErr w:type="gramEnd"/>
      <w:r w:rsidRPr="00F43D50">
        <w:rPr>
          <w:rFonts w:ascii="Roboto" w:hAnsi="Roboto"/>
          <w:bCs/>
          <w:lang w:val="en-US"/>
        </w:rPr>
        <w:t xml:space="preserve"> scheme should move to carbon targets and encourage companies to implement a wider spectrum of carbon and energy reduction projects.  A future CCA also needs to accommodate renewables, not just the purchase of certified renewable power but it needs to </w:t>
      </w:r>
      <w:proofErr w:type="spellStart"/>
      <w:r w:rsidRPr="00F43D50">
        <w:rPr>
          <w:rFonts w:ascii="Roboto" w:hAnsi="Roboto"/>
          <w:bCs/>
          <w:lang w:val="en-US"/>
        </w:rPr>
        <w:t>recognise</w:t>
      </w:r>
      <w:proofErr w:type="spellEnd"/>
      <w:r w:rsidRPr="00F43D50">
        <w:rPr>
          <w:rFonts w:ascii="Roboto" w:hAnsi="Roboto"/>
          <w:bCs/>
          <w:lang w:val="en-US"/>
        </w:rPr>
        <w:t xml:space="preserve"> activity that contributes to additional generation, through technologies like fuel cells, via onsite generation or power purchase agreements (adding onsite generating capacity to existing data </w:t>
      </w:r>
      <w:proofErr w:type="spellStart"/>
      <w:r w:rsidRPr="00F43D50">
        <w:rPr>
          <w:rFonts w:ascii="Roboto" w:hAnsi="Roboto"/>
          <w:bCs/>
          <w:lang w:val="en-US"/>
        </w:rPr>
        <w:t>centre</w:t>
      </w:r>
      <w:proofErr w:type="spellEnd"/>
      <w:r w:rsidRPr="00F43D50">
        <w:rPr>
          <w:rFonts w:ascii="Roboto" w:hAnsi="Roboto"/>
          <w:bCs/>
          <w:lang w:val="en-US"/>
        </w:rPr>
        <w:t xml:space="preserve"> facilities is frequently impractical).  </w:t>
      </w:r>
    </w:p>
    <w:p w14:paraId="41D4E3E3" w14:textId="1A1741EA" w:rsidR="00F43D50" w:rsidRPr="00F43D50" w:rsidRDefault="00F43D50" w:rsidP="00110726">
      <w:pPr>
        <w:spacing w:line="276" w:lineRule="auto"/>
        <w:jc w:val="both"/>
        <w:rPr>
          <w:rFonts w:ascii="Roboto" w:hAnsi="Roboto"/>
          <w:bCs/>
          <w:lang w:val="en-US"/>
        </w:rPr>
      </w:pPr>
      <w:r w:rsidRPr="00F43D50">
        <w:rPr>
          <w:rFonts w:ascii="Roboto" w:hAnsi="Roboto"/>
          <w:bCs/>
          <w:lang w:val="en-US"/>
        </w:rPr>
        <w:t xml:space="preserve">This slight shift in a future scheme would balance required between energy efficiency and other </w:t>
      </w:r>
      <w:proofErr w:type="spellStart"/>
      <w:r w:rsidRPr="00F43D50">
        <w:rPr>
          <w:rFonts w:ascii="Roboto" w:hAnsi="Roboto"/>
          <w:bCs/>
          <w:lang w:val="en-US"/>
        </w:rPr>
        <w:t>decarbonisation</w:t>
      </w:r>
      <w:proofErr w:type="spellEnd"/>
      <w:r w:rsidRPr="00F43D50">
        <w:rPr>
          <w:rFonts w:ascii="Roboto" w:hAnsi="Roboto"/>
          <w:bCs/>
          <w:lang w:val="en-US"/>
        </w:rPr>
        <w:t xml:space="preserve"> measures to be considered and reward operators with robust plans for measuring, monitoring and reporting progress on their journey towards Net Zero. This is particularly important for the data </w:t>
      </w:r>
      <w:proofErr w:type="spellStart"/>
      <w:r w:rsidRPr="00F43D50">
        <w:rPr>
          <w:rFonts w:ascii="Roboto" w:hAnsi="Roboto"/>
          <w:bCs/>
          <w:lang w:val="en-US"/>
        </w:rPr>
        <w:t>centre</w:t>
      </w:r>
      <w:proofErr w:type="spellEnd"/>
      <w:r w:rsidRPr="00F43D50">
        <w:rPr>
          <w:rFonts w:ascii="Roboto" w:hAnsi="Roboto"/>
          <w:bCs/>
          <w:lang w:val="en-US"/>
        </w:rPr>
        <w:t xml:space="preserve"> </w:t>
      </w:r>
      <w:proofErr w:type="gramStart"/>
      <w:r w:rsidRPr="00F43D50">
        <w:rPr>
          <w:rFonts w:ascii="Roboto" w:hAnsi="Roboto"/>
          <w:bCs/>
          <w:lang w:val="en-US"/>
        </w:rPr>
        <w:t>operators</w:t>
      </w:r>
      <w:proofErr w:type="gramEnd"/>
      <w:r w:rsidRPr="00F43D50">
        <w:rPr>
          <w:rFonts w:ascii="Roboto" w:hAnsi="Roboto"/>
          <w:bCs/>
          <w:lang w:val="en-US"/>
        </w:rPr>
        <w:t xml:space="preserve"> sector as once an operator is beyond the 80/20 rule on energy efficiency (and most operators are on track to achieve this) and commitment to 100% renewable energy sources, then the focus should move from energy efficiency to other </w:t>
      </w:r>
      <w:proofErr w:type="spellStart"/>
      <w:r w:rsidRPr="00F43D50">
        <w:rPr>
          <w:rFonts w:ascii="Roboto" w:hAnsi="Roboto"/>
          <w:bCs/>
          <w:lang w:val="en-US"/>
        </w:rPr>
        <w:t>decarbonisation</w:t>
      </w:r>
      <w:proofErr w:type="spellEnd"/>
      <w:r w:rsidRPr="00F43D50">
        <w:rPr>
          <w:rFonts w:ascii="Roboto" w:hAnsi="Roboto"/>
          <w:bCs/>
          <w:lang w:val="en-US"/>
        </w:rPr>
        <w:t xml:space="preserve"> measures. </w:t>
      </w:r>
    </w:p>
    <w:p w14:paraId="3888C6F4" w14:textId="72454BF7" w:rsidR="00FA39BB" w:rsidRPr="00FA39BB" w:rsidRDefault="00F43D50" w:rsidP="00F43D50">
      <w:pPr>
        <w:spacing w:line="276" w:lineRule="auto"/>
        <w:rPr>
          <w:rFonts w:ascii="Roboto" w:hAnsi="Roboto"/>
          <w:bCs/>
          <w:lang w:val="en-US"/>
        </w:rPr>
      </w:pPr>
      <w:r w:rsidRPr="00F43D50">
        <w:rPr>
          <w:rFonts w:ascii="Roboto" w:hAnsi="Roboto"/>
          <w:b/>
          <w:lang w:val="en-US"/>
        </w:rPr>
        <w:lastRenderedPageBreak/>
        <w:t>Payback</w:t>
      </w:r>
      <w:r w:rsidRPr="00F43D50">
        <w:rPr>
          <w:rFonts w:ascii="Roboto" w:hAnsi="Roboto"/>
          <w:bCs/>
          <w:lang w:val="en-US"/>
        </w:rPr>
        <w:t xml:space="preserve"> </w:t>
      </w:r>
    </w:p>
    <w:p w14:paraId="1F374A97" w14:textId="09485F9D" w:rsidR="00F43D50" w:rsidRPr="00F43D50" w:rsidRDefault="00F43D50" w:rsidP="00110726">
      <w:pPr>
        <w:spacing w:line="276" w:lineRule="auto"/>
        <w:jc w:val="both"/>
        <w:rPr>
          <w:rFonts w:ascii="Roboto" w:hAnsi="Roboto"/>
          <w:bCs/>
          <w:lang w:val="en-US"/>
        </w:rPr>
      </w:pPr>
      <w:r w:rsidRPr="00F43D50">
        <w:rPr>
          <w:rFonts w:ascii="Roboto" w:hAnsi="Roboto"/>
          <w:bCs/>
          <w:lang w:val="en-US"/>
        </w:rPr>
        <w:t>Operators need the CCA scheme as an independent set of KPI for driving and reporting on energy efficiency improvements each year to operators’ investors, operators and customers.</w:t>
      </w:r>
    </w:p>
    <w:p w14:paraId="2FE0C93C" w14:textId="67802DF3" w:rsidR="000E40AC" w:rsidRDefault="00F43D50" w:rsidP="00110726">
      <w:pPr>
        <w:spacing w:line="276" w:lineRule="auto"/>
        <w:jc w:val="both"/>
        <w:rPr>
          <w:rFonts w:ascii="Roboto" w:hAnsi="Roboto"/>
          <w:bCs/>
          <w:lang w:val="en-US"/>
        </w:rPr>
      </w:pPr>
      <w:r w:rsidRPr="00FA39BB">
        <w:rPr>
          <w:rFonts w:ascii="Roboto" w:hAnsi="Roboto"/>
          <w:bCs/>
          <w:lang w:val="en-US"/>
        </w:rPr>
        <w:t xml:space="preserve">Furthermore, the CCA provides sufficient signals of support to enable high cost, longer payback projects to deliver acceptable ROI to go ahead.  For instance, operators are currently conducting R&amp;D into fuel cells and battery storage and if these technologies are to be adopted rapidly, financial </w:t>
      </w:r>
      <w:r w:rsidRPr="0079076E">
        <w:rPr>
          <w:rFonts w:ascii="Roboto" w:hAnsi="Roboto"/>
          <w:bCs/>
          <w:lang w:val="en-US"/>
        </w:rPr>
        <w:t>assistance to help free up the supply chain may be necessary</w:t>
      </w:r>
      <w:r w:rsidR="00FA39BB" w:rsidRPr="0079076E">
        <w:rPr>
          <w:rFonts w:ascii="Roboto" w:hAnsi="Roboto"/>
          <w:bCs/>
          <w:lang w:val="en-US"/>
        </w:rPr>
        <w:t>.</w:t>
      </w:r>
    </w:p>
    <w:p w14:paraId="4A17CC0D" w14:textId="75213B22" w:rsidR="00462CB4" w:rsidRPr="00462CB4" w:rsidRDefault="00462CB4" w:rsidP="00110726">
      <w:pPr>
        <w:spacing w:line="276" w:lineRule="auto"/>
        <w:jc w:val="both"/>
        <w:rPr>
          <w:rFonts w:ascii="Roboto" w:hAnsi="Roboto"/>
          <w:b/>
          <w:lang w:val="en-US"/>
        </w:rPr>
      </w:pPr>
      <w:r>
        <w:rPr>
          <w:rFonts w:ascii="Roboto" w:hAnsi="Roboto"/>
          <w:b/>
          <w:lang w:val="en-US"/>
        </w:rPr>
        <w:t>Consultation Response</w:t>
      </w:r>
    </w:p>
    <w:p w14:paraId="6522C273" w14:textId="74E639E4" w:rsidR="00B6589C" w:rsidRPr="00303A40" w:rsidRDefault="00B6589C" w:rsidP="00303A40">
      <w:pPr>
        <w:spacing w:line="276" w:lineRule="auto"/>
        <w:jc w:val="both"/>
        <w:rPr>
          <w:rFonts w:ascii="Roboto" w:hAnsi="Roboto"/>
          <w:bCs/>
          <w:lang w:val="en-US"/>
        </w:rPr>
      </w:pPr>
      <w:r w:rsidRPr="0079076E">
        <w:rPr>
          <w:rFonts w:ascii="Roboto" w:hAnsi="Roboto"/>
          <w:bCs/>
          <w:lang w:val="en-US"/>
        </w:rPr>
        <w:t>Please find detailed answers to the consultation questions below.</w:t>
      </w:r>
      <w:r w:rsidR="0079076E" w:rsidRPr="0079076E">
        <w:rPr>
          <w:rFonts w:ascii="Roboto" w:hAnsi="Roboto"/>
          <w:bCs/>
          <w:lang w:val="en-US"/>
        </w:rPr>
        <w:t xml:space="preserve"> Should any</w:t>
      </w:r>
      <w:r w:rsidR="0079076E" w:rsidRPr="0079076E">
        <w:rPr>
          <w:rFonts w:ascii="Roboto" w:hAnsi="Roboto"/>
          <w:bCs/>
          <w:lang w:val="en-US"/>
        </w:rPr>
        <w:t xml:space="preserve"> further information </w:t>
      </w:r>
      <w:r w:rsidR="0079076E" w:rsidRPr="0079076E">
        <w:rPr>
          <w:rFonts w:ascii="Roboto" w:hAnsi="Roboto"/>
          <w:bCs/>
          <w:lang w:val="en-US"/>
        </w:rPr>
        <w:t>be</w:t>
      </w:r>
      <w:r w:rsidR="0079076E" w:rsidRPr="0079076E">
        <w:rPr>
          <w:rFonts w:ascii="Roboto" w:hAnsi="Roboto"/>
          <w:bCs/>
          <w:lang w:val="en-US"/>
        </w:rPr>
        <w:t xml:space="preserve"> needed, please do not hesitate to get in touch.</w:t>
      </w:r>
    </w:p>
    <w:p w14:paraId="242EAAFC" w14:textId="218ACE8D" w:rsidR="00B6589C" w:rsidRPr="004C2B8C" w:rsidRDefault="00B6589C" w:rsidP="00F43D50">
      <w:pPr>
        <w:spacing w:line="276" w:lineRule="auto"/>
        <w:rPr>
          <w:rFonts w:ascii="Roboto" w:hAnsi="Roboto"/>
          <w:b/>
          <w:lang w:val="en-US"/>
        </w:rPr>
      </w:pPr>
      <w:r w:rsidRPr="004C2B8C">
        <w:rPr>
          <w:rFonts w:ascii="Roboto" w:hAnsi="Roboto"/>
          <w:b/>
          <w:lang w:val="en-US"/>
        </w:rPr>
        <w:t xml:space="preserve">Q1. </w:t>
      </w:r>
      <w:r w:rsidRPr="004C2B8C">
        <w:rPr>
          <w:rFonts w:ascii="Roboto" w:hAnsi="Roboto"/>
          <w:b/>
          <w:lang w:val="en-US"/>
        </w:rPr>
        <w:t>Do you foresee any impacts arising from this two-year extension?</w:t>
      </w:r>
    </w:p>
    <w:p w14:paraId="23A4480B" w14:textId="317B9704" w:rsidR="004C2B8C" w:rsidRPr="004C2B8C" w:rsidRDefault="00462CB4" w:rsidP="004C2B8C">
      <w:pPr>
        <w:spacing w:line="276" w:lineRule="auto"/>
        <w:ind w:left="720"/>
        <w:rPr>
          <w:rFonts w:ascii="Roboto" w:hAnsi="Roboto"/>
          <w:bCs/>
          <w:lang w:val="en-US"/>
        </w:rPr>
      </w:pPr>
      <w:r w:rsidRPr="004C2B8C">
        <w:rPr>
          <w:rFonts w:ascii="Roboto" w:hAnsi="Roboto"/>
          <w:bCs/>
          <w:lang w:val="en-US"/>
        </w:rPr>
        <w:t>Generally,</w:t>
      </w:r>
      <w:r w:rsidR="004C2B8C" w:rsidRPr="004C2B8C">
        <w:rPr>
          <w:rFonts w:ascii="Roboto" w:hAnsi="Roboto"/>
          <w:bCs/>
          <w:lang w:val="en-US"/>
        </w:rPr>
        <w:t xml:space="preserve"> the extension to the CCA scheme is welcomed and this should drive additional energy and carbon savings across the sector.  </w:t>
      </w:r>
    </w:p>
    <w:p w14:paraId="0EDDA30E" w14:textId="49609F88" w:rsidR="004C2B8C" w:rsidRPr="004C2B8C" w:rsidRDefault="004C2B8C" w:rsidP="004C2B8C">
      <w:pPr>
        <w:spacing w:line="276" w:lineRule="auto"/>
        <w:ind w:left="720"/>
        <w:rPr>
          <w:rFonts w:ascii="Roboto" w:hAnsi="Roboto"/>
          <w:bCs/>
          <w:lang w:val="en-US"/>
        </w:rPr>
      </w:pPr>
      <w:r w:rsidRPr="004C2B8C">
        <w:rPr>
          <w:rFonts w:ascii="Roboto" w:hAnsi="Roboto"/>
          <w:bCs/>
          <w:lang w:val="en-US"/>
        </w:rPr>
        <w:t xml:space="preserve">However, the causes for concern are the tight timescales, especially for any counterproposal for sector targets and the request for increased reporting on energy efficiency actions taken and </w:t>
      </w:r>
      <w:proofErr w:type="spellStart"/>
      <w:r w:rsidRPr="004C2B8C">
        <w:rPr>
          <w:rFonts w:ascii="Roboto" w:hAnsi="Roboto"/>
          <w:bCs/>
          <w:lang w:val="en-US"/>
        </w:rPr>
        <w:t>decarbonisation</w:t>
      </w:r>
      <w:proofErr w:type="spellEnd"/>
      <w:r w:rsidRPr="004C2B8C">
        <w:rPr>
          <w:rFonts w:ascii="Roboto" w:hAnsi="Roboto"/>
          <w:bCs/>
          <w:lang w:val="en-US"/>
        </w:rPr>
        <w:t xml:space="preserve"> potential.  </w:t>
      </w:r>
    </w:p>
    <w:p w14:paraId="38AB5FE6" w14:textId="67C4F878" w:rsidR="00B6589C" w:rsidRDefault="004C2B8C" w:rsidP="004C2B8C">
      <w:pPr>
        <w:spacing w:line="276" w:lineRule="auto"/>
        <w:ind w:left="720"/>
        <w:rPr>
          <w:rFonts w:ascii="Roboto" w:hAnsi="Roboto"/>
          <w:bCs/>
          <w:lang w:val="en-US"/>
        </w:rPr>
      </w:pPr>
      <w:r w:rsidRPr="004C2B8C">
        <w:rPr>
          <w:rFonts w:ascii="Roboto" w:hAnsi="Roboto"/>
          <w:bCs/>
          <w:lang w:val="en-US"/>
        </w:rPr>
        <w:t xml:space="preserve">Another concern is that enhanced reporting of actions taken and the </w:t>
      </w:r>
      <w:proofErr w:type="spellStart"/>
      <w:r w:rsidRPr="004C2B8C">
        <w:rPr>
          <w:rFonts w:ascii="Roboto" w:hAnsi="Roboto"/>
          <w:bCs/>
          <w:lang w:val="en-US"/>
        </w:rPr>
        <w:t>decarbonisation</w:t>
      </w:r>
      <w:proofErr w:type="spellEnd"/>
      <w:r w:rsidRPr="004C2B8C">
        <w:rPr>
          <w:rFonts w:ascii="Roboto" w:hAnsi="Roboto"/>
          <w:bCs/>
          <w:lang w:val="en-US"/>
        </w:rPr>
        <w:t xml:space="preserve"> potential, should lead to additional measurement, monitoring and reporting over that which is required for SECR and the GHG Corporate Accounting and Reporting Standard.</w:t>
      </w:r>
    </w:p>
    <w:p w14:paraId="782A888E" w14:textId="04B6E511" w:rsidR="004C2B8C" w:rsidRDefault="004C2B8C" w:rsidP="004C2B8C">
      <w:pPr>
        <w:spacing w:line="276" w:lineRule="auto"/>
        <w:rPr>
          <w:rFonts w:ascii="Roboto" w:hAnsi="Roboto"/>
          <w:b/>
          <w:lang w:val="en-US"/>
        </w:rPr>
      </w:pPr>
      <w:r w:rsidRPr="004C2B8C">
        <w:rPr>
          <w:rFonts w:ascii="Roboto" w:hAnsi="Roboto"/>
          <w:b/>
          <w:lang w:val="en-US"/>
        </w:rPr>
        <w:t>Q2</w:t>
      </w:r>
      <w:r>
        <w:rPr>
          <w:rFonts w:ascii="Roboto" w:hAnsi="Roboto"/>
          <w:b/>
          <w:lang w:val="en-US"/>
        </w:rPr>
        <w:t>.</w:t>
      </w:r>
      <w:r w:rsidR="006D155F">
        <w:rPr>
          <w:rFonts w:ascii="Roboto" w:hAnsi="Roboto"/>
          <w:b/>
          <w:lang w:val="en-US"/>
        </w:rPr>
        <w:t xml:space="preserve"> </w:t>
      </w:r>
      <w:r w:rsidR="006D155F" w:rsidRPr="006D155F">
        <w:rPr>
          <w:rFonts w:ascii="Roboto" w:hAnsi="Roboto"/>
          <w:b/>
          <w:lang w:val="en-US"/>
        </w:rPr>
        <w:t>Do you agree with the proposed dates for Target Period 6 and Certification Period 6?</w:t>
      </w:r>
    </w:p>
    <w:p w14:paraId="495860F8" w14:textId="7FE9503A" w:rsidR="006D155F" w:rsidRDefault="006D155F" w:rsidP="006D155F">
      <w:pPr>
        <w:spacing w:line="276" w:lineRule="auto"/>
        <w:ind w:left="720"/>
        <w:rPr>
          <w:rFonts w:ascii="Roboto" w:hAnsi="Roboto"/>
          <w:bCs/>
          <w:lang w:val="en-US"/>
        </w:rPr>
      </w:pPr>
      <w:r>
        <w:rPr>
          <w:rFonts w:ascii="Roboto" w:hAnsi="Roboto"/>
          <w:bCs/>
          <w:lang w:val="en-US"/>
        </w:rPr>
        <w:t>Yes</w:t>
      </w:r>
      <w:r w:rsidR="00536ADA">
        <w:rPr>
          <w:rFonts w:ascii="Roboto" w:hAnsi="Roboto"/>
          <w:bCs/>
          <w:lang w:val="en-US"/>
        </w:rPr>
        <w:t>.</w:t>
      </w:r>
    </w:p>
    <w:p w14:paraId="1BB658BB" w14:textId="0FF72948" w:rsidR="006D155F" w:rsidRDefault="006D155F" w:rsidP="006D155F">
      <w:pPr>
        <w:spacing w:line="276" w:lineRule="auto"/>
        <w:rPr>
          <w:rFonts w:ascii="Roboto" w:hAnsi="Roboto"/>
          <w:b/>
          <w:lang w:val="en-US"/>
        </w:rPr>
      </w:pPr>
      <w:r w:rsidRPr="00536ADA">
        <w:rPr>
          <w:rFonts w:ascii="Roboto" w:hAnsi="Roboto"/>
          <w:b/>
          <w:lang w:val="en-US"/>
        </w:rPr>
        <w:t xml:space="preserve">Q3. </w:t>
      </w:r>
      <w:r w:rsidR="00536ADA" w:rsidRPr="00536ADA">
        <w:rPr>
          <w:rFonts w:ascii="Roboto" w:hAnsi="Roboto"/>
          <w:b/>
          <w:lang w:val="en-US"/>
        </w:rPr>
        <w:t>Do you foresee any issues with maintaining the current scheme eligibility criteria?</w:t>
      </w:r>
    </w:p>
    <w:p w14:paraId="08C09054" w14:textId="0289A8A3" w:rsidR="00536ADA" w:rsidRDefault="00536ADA" w:rsidP="00536ADA">
      <w:pPr>
        <w:spacing w:line="276" w:lineRule="auto"/>
        <w:ind w:left="720"/>
        <w:rPr>
          <w:rFonts w:ascii="Roboto" w:hAnsi="Roboto"/>
          <w:bCs/>
          <w:lang w:val="en-US"/>
        </w:rPr>
      </w:pPr>
      <w:r>
        <w:rPr>
          <w:rFonts w:ascii="Roboto" w:hAnsi="Roboto"/>
          <w:bCs/>
          <w:lang w:val="en-US"/>
        </w:rPr>
        <w:t>No</w:t>
      </w:r>
      <w:r w:rsidR="0079076E">
        <w:rPr>
          <w:rFonts w:ascii="Roboto" w:hAnsi="Roboto"/>
          <w:bCs/>
          <w:lang w:val="en-US"/>
        </w:rPr>
        <w:t>.</w:t>
      </w:r>
    </w:p>
    <w:p w14:paraId="31CC8FD2" w14:textId="1BB7DC3F" w:rsidR="00E46972" w:rsidRPr="0049557C" w:rsidRDefault="00E46972" w:rsidP="00E46972">
      <w:pPr>
        <w:spacing w:line="276" w:lineRule="auto"/>
        <w:rPr>
          <w:rFonts w:ascii="Roboto" w:hAnsi="Roboto"/>
          <w:b/>
          <w:lang w:val="en-US"/>
        </w:rPr>
      </w:pPr>
      <w:r w:rsidRPr="0049557C">
        <w:rPr>
          <w:rFonts w:ascii="Roboto" w:hAnsi="Roboto"/>
          <w:b/>
          <w:lang w:val="en-US"/>
        </w:rPr>
        <w:t xml:space="preserve">Q4. </w:t>
      </w:r>
      <w:r w:rsidRPr="0049557C">
        <w:rPr>
          <w:rFonts w:ascii="Roboto" w:hAnsi="Roboto"/>
          <w:b/>
          <w:lang w:val="en-US"/>
        </w:rPr>
        <w:t>Do you agree with the dates proposed for new entrant applications?</w:t>
      </w:r>
    </w:p>
    <w:p w14:paraId="74ADFAF6" w14:textId="6117EF7B" w:rsidR="00CD69C8" w:rsidRPr="0049557C" w:rsidRDefault="00CD69C8" w:rsidP="0079076E">
      <w:pPr>
        <w:spacing w:line="276" w:lineRule="auto"/>
        <w:ind w:left="720"/>
        <w:rPr>
          <w:rFonts w:ascii="Roboto" w:hAnsi="Roboto"/>
          <w:bCs/>
          <w:lang w:val="en-US"/>
        </w:rPr>
      </w:pPr>
      <w:r w:rsidRPr="0049557C">
        <w:rPr>
          <w:rFonts w:ascii="Roboto" w:hAnsi="Roboto"/>
          <w:bCs/>
          <w:lang w:val="en-US"/>
        </w:rPr>
        <w:t>No. Although i</w:t>
      </w:r>
      <w:r w:rsidRPr="0049557C">
        <w:rPr>
          <w:rFonts w:ascii="Roboto" w:hAnsi="Roboto"/>
          <w:bCs/>
          <w:lang w:val="en-US"/>
        </w:rPr>
        <w:t>t is disappointing that new entrants into the CCA scheme are not allowed during 2024.   We struggle to see the reasoning behind this.</w:t>
      </w:r>
    </w:p>
    <w:p w14:paraId="60F4E991" w14:textId="5181A933" w:rsidR="00E46972" w:rsidRPr="0049557C" w:rsidRDefault="00CD69C8" w:rsidP="0079076E">
      <w:pPr>
        <w:spacing w:line="276" w:lineRule="auto"/>
        <w:ind w:left="720"/>
        <w:rPr>
          <w:rFonts w:ascii="Roboto" w:hAnsi="Roboto"/>
          <w:bCs/>
          <w:lang w:val="en-US"/>
        </w:rPr>
      </w:pPr>
      <w:r w:rsidRPr="0049557C">
        <w:rPr>
          <w:rFonts w:ascii="Roboto" w:hAnsi="Roboto"/>
          <w:bCs/>
          <w:lang w:val="en-US"/>
        </w:rPr>
        <w:t xml:space="preserve">The data </w:t>
      </w:r>
      <w:proofErr w:type="spellStart"/>
      <w:r w:rsidRPr="0049557C">
        <w:rPr>
          <w:rFonts w:ascii="Roboto" w:hAnsi="Roboto"/>
          <w:bCs/>
          <w:lang w:val="en-US"/>
        </w:rPr>
        <w:t>centre</w:t>
      </w:r>
      <w:proofErr w:type="spellEnd"/>
      <w:r w:rsidRPr="0049557C">
        <w:rPr>
          <w:rFonts w:ascii="Roboto" w:hAnsi="Roboto"/>
          <w:bCs/>
          <w:lang w:val="en-US"/>
        </w:rPr>
        <w:t xml:space="preserve"> sector is actively opening new sites across Europe and not allowing new sites to join at any time and secure the CCL discount will distract from investment in the UK.</w:t>
      </w:r>
    </w:p>
    <w:p w14:paraId="19B9DA44" w14:textId="451B9E06" w:rsidR="00FA39BB" w:rsidRPr="0049557C" w:rsidRDefault="0049557C" w:rsidP="00F43D50">
      <w:pPr>
        <w:spacing w:line="276" w:lineRule="auto"/>
        <w:rPr>
          <w:rFonts w:ascii="Roboto" w:hAnsi="Roboto"/>
          <w:b/>
          <w:bCs/>
        </w:rPr>
      </w:pPr>
      <w:r w:rsidRPr="0049557C">
        <w:rPr>
          <w:rFonts w:ascii="Roboto" w:hAnsi="Roboto"/>
          <w:b/>
          <w:bCs/>
        </w:rPr>
        <w:t xml:space="preserve">Q5. </w:t>
      </w:r>
      <w:r w:rsidRPr="0049557C">
        <w:rPr>
          <w:rFonts w:ascii="Roboto" w:hAnsi="Roboto"/>
          <w:b/>
          <w:bCs/>
        </w:rPr>
        <w:t>Do you agree with the proposal to maintain 2018 as the baseline year?</w:t>
      </w:r>
    </w:p>
    <w:p w14:paraId="7F8B7A62" w14:textId="2BC2E0FC" w:rsidR="0049557C" w:rsidRDefault="0049557C" w:rsidP="0079076E">
      <w:pPr>
        <w:spacing w:line="276" w:lineRule="auto"/>
        <w:ind w:left="720"/>
        <w:rPr>
          <w:rFonts w:ascii="Roboto" w:hAnsi="Roboto"/>
        </w:rPr>
      </w:pPr>
      <w:r w:rsidRPr="0049557C">
        <w:rPr>
          <w:rFonts w:ascii="Roboto" w:hAnsi="Roboto"/>
        </w:rPr>
        <w:t>Yes.</w:t>
      </w:r>
    </w:p>
    <w:p w14:paraId="703BF0C5" w14:textId="25B479F4" w:rsidR="00C75DD1" w:rsidRPr="00C75DD1" w:rsidRDefault="00C75DD1" w:rsidP="00F43D50">
      <w:pPr>
        <w:spacing w:line="276" w:lineRule="auto"/>
        <w:rPr>
          <w:rFonts w:ascii="Roboto" w:hAnsi="Roboto"/>
          <w:b/>
          <w:bCs/>
        </w:rPr>
      </w:pPr>
      <w:r>
        <w:rPr>
          <w:rFonts w:ascii="Roboto" w:hAnsi="Roboto"/>
          <w:b/>
          <w:bCs/>
        </w:rPr>
        <w:t xml:space="preserve">Q6. </w:t>
      </w:r>
      <w:r w:rsidR="003923D3" w:rsidRPr="003923D3">
        <w:rPr>
          <w:rFonts w:ascii="Roboto" w:hAnsi="Roboto"/>
          <w:b/>
          <w:bCs/>
        </w:rPr>
        <w:t>Do you agree with process as set out for agreeing sectoral targets?</w:t>
      </w:r>
    </w:p>
    <w:p w14:paraId="38840B2E" w14:textId="77777777" w:rsidR="00991054" w:rsidRPr="00991054" w:rsidRDefault="00991054" w:rsidP="00303A40">
      <w:pPr>
        <w:spacing w:line="276" w:lineRule="auto"/>
        <w:ind w:left="720"/>
        <w:rPr>
          <w:rFonts w:ascii="Roboto" w:hAnsi="Roboto"/>
        </w:rPr>
      </w:pPr>
      <w:r w:rsidRPr="00991054">
        <w:rPr>
          <w:rFonts w:ascii="Roboto" w:hAnsi="Roboto"/>
        </w:rPr>
        <w:t xml:space="preserve">The idea of using TP5 performance looks sensible, but there are concerns over what this will mean, and it is not clear in the consultation how this will be applied.   </w:t>
      </w:r>
    </w:p>
    <w:p w14:paraId="3CADC4AB" w14:textId="3FF50C7C" w:rsidR="00991054" w:rsidRPr="00991054" w:rsidRDefault="00991054" w:rsidP="0079076E">
      <w:pPr>
        <w:spacing w:line="276" w:lineRule="auto"/>
        <w:ind w:left="720"/>
        <w:rPr>
          <w:rFonts w:ascii="Roboto" w:hAnsi="Roboto"/>
        </w:rPr>
      </w:pPr>
      <w:r w:rsidRPr="00991054">
        <w:rPr>
          <w:rFonts w:ascii="Roboto" w:hAnsi="Roboto"/>
        </w:rPr>
        <w:t xml:space="preserve">Greater detail would have been appreciated here to provide a more detailed response.   There is also a concern if a </w:t>
      </w:r>
      <w:r w:rsidR="00303A40" w:rsidRPr="00991054">
        <w:rPr>
          <w:rFonts w:ascii="Roboto" w:hAnsi="Roboto"/>
        </w:rPr>
        <w:t>straight-line</w:t>
      </w:r>
      <w:r w:rsidRPr="00991054">
        <w:rPr>
          <w:rFonts w:ascii="Roboto" w:hAnsi="Roboto"/>
        </w:rPr>
        <w:t xml:space="preserve"> extrapolation is used to give a TP6 target as </w:t>
      </w:r>
      <w:r w:rsidRPr="00991054">
        <w:rPr>
          <w:rFonts w:ascii="Roboto" w:hAnsi="Roboto"/>
        </w:rPr>
        <w:lastRenderedPageBreak/>
        <w:t xml:space="preserve">repeating the same level of performance will be difficult due to diminishing returns on quick turn round actions.  The timeline of 2024 does not give enough time for large scale investment projects to be identified costed, implemented and the benefits delivered.  </w:t>
      </w:r>
    </w:p>
    <w:p w14:paraId="715EAF9B" w14:textId="77777777" w:rsidR="00991054" w:rsidRPr="00991054" w:rsidRDefault="00991054" w:rsidP="0079076E">
      <w:pPr>
        <w:spacing w:line="276" w:lineRule="auto"/>
        <w:ind w:left="720"/>
        <w:rPr>
          <w:rFonts w:ascii="Roboto" w:hAnsi="Roboto"/>
        </w:rPr>
      </w:pPr>
      <w:r w:rsidRPr="00991054">
        <w:rPr>
          <w:rFonts w:ascii="Roboto" w:hAnsi="Roboto"/>
        </w:rPr>
        <w:t xml:space="preserve">This is especially relevant at the moment when significant increases in energy costs </w:t>
      </w:r>
      <w:proofErr w:type="gramStart"/>
      <w:r w:rsidRPr="00991054">
        <w:rPr>
          <w:rFonts w:ascii="Roboto" w:hAnsi="Roboto"/>
        </w:rPr>
        <w:t>has</w:t>
      </w:r>
      <w:proofErr w:type="gramEnd"/>
      <w:r w:rsidRPr="00991054">
        <w:rPr>
          <w:rFonts w:ascii="Roboto" w:hAnsi="Roboto"/>
        </w:rPr>
        <w:t xml:space="preserve"> reduced margins and cash reserves as existing customer contracts cannot have price rises enacted as quickly.</w:t>
      </w:r>
    </w:p>
    <w:p w14:paraId="5B680E0D" w14:textId="5883C531" w:rsidR="0049557C" w:rsidRDefault="00991054" w:rsidP="0079076E">
      <w:pPr>
        <w:spacing w:line="276" w:lineRule="auto"/>
        <w:ind w:left="720"/>
        <w:rPr>
          <w:rFonts w:ascii="Roboto" w:hAnsi="Roboto"/>
        </w:rPr>
      </w:pPr>
      <w:r w:rsidRPr="00991054">
        <w:rPr>
          <w:rFonts w:ascii="Roboto" w:hAnsi="Roboto"/>
        </w:rPr>
        <w:t xml:space="preserve">In the data centre sector, energy use and hence savings are definitely not </w:t>
      </w:r>
      <w:proofErr w:type="gramStart"/>
      <w:r w:rsidRPr="00991054">
        <w:rPr>
          <w:rFonts w:ascii="Roboto" w:hAnsi="Roboto"/>
        </w:rPr>
        <w:t>linear</w:t>
      </w:r>
      <w:proofErr w:type="gramEnd"/>
      <w:r w:rsidRPr="00991054">
        <w:rPr>
          <w:rFonts w:ascii="Roboto" w:hAnsi="Roboto"/>
        </w:rPr>
        <w:t xml:space="preserve"> and a linear trajectory would not be physically possible without excessive investment. A demanding target imposed on a sector that is relatively advanced in terms of implementing energy efficiency measures will disproportionately punish early adopters and mature sites where retrofitting options are likely to be much more limited.</w:t>
      </w:r>
    </w:p>
    <w:p w14:paraId="28F40E12" w14:textId="1FB6D784" w:rsidR="00991054" w:rsidRDefault="00991054" w:rsidP="00991054">
      <w:pPr>
        <w:spacing w:line="276" w:lineRule="auto"/>
        <w:rPr>
          <w:rFonts w:ascii="Roboto" w:hAnsi="Roboto"/>
          <w:b/>
          <w:bCs/>
        </w:rPr>
      </w:pPr>
      <w:r>
        <w:rPr>
          <w:rFonts w:ascii="Roboto" w:hAnsi="Roboto"/>
          <w:b/>
          <w:bCs/>
        </w:rPr>
        <w:t>Q7.</w:t>
      </w:r>
      <w:r w:rsidR="002D0770">
        <w:rPr>
          <w:rFonts w:ascii="Roboto" w:hAnsi="Roboto"/>
          <w:b/>
          <w:bCs/>
        </w:rPr>
        <w:t xml:space="preserve"> </w:t>
      </w:r>
      <w:r w:rsidR="002D0770" w:rsidRPr="002D0770">
        <w:rPr>
          <w:rFonts w:ascii="Roboto" w:hAnsi="Roboto"/>
          <w:b/>
          <w:bCs/>
        </w:rPr>
        <w:t>Do you agree with the proposal that surplus from previous Target Periods should not be brought forward for use in TP6?</w:t>
      </w:r>
    </w:p>
    <w:p w14:paraId="17A626E8" w14:textId="5559F053" w:rsidR="002D0770" w:rsidRDefault="00215346" w:rsidP="0079076E">
      <w:pPr>
        <w:spacing w:line="276" w:lineRule="auto"/>
        <w:ind w:left="720"/>
        <w:rPr>
          <w:rFonts w:ascii="Roboto" w:hAnsi="Roboto"/>
          <w:lang w:val="en-US"/>
        </w:rPr>
      </w:pPr>
      <w:r w:rsidRPr="00215346">
        <w:rPr>
          <w:rFonts w:ascii="Roboto" w:hAnsi="Roboto"/>
          <w:lang w:val="en-US"/>
        </w:rPr>
        <w:t>No. As the same base year is being used for TP6 and TP5 and any target for TP6 will be in excess of TP5 then surplus should be available for use.   It could be unfair for those passing TP5 to not be able to use surplus for TP6 if significant investment made it possible</w:t>
      </w:r>
      <w:r>
        <w:rPr>
          <w:rFonts w:ascii="Roboto" w:hAnsi="Roboto"/>
          <w:lang w:val="en-US"/>
        </w:rPr>
        <w:t>.</w:t>
      </w:r>
    </w:p>
    <w:p w14:paraId="30645BA9" w14:textId="181ADF26" w:rsidR="00215346" w:rsidRDefault="00215346" w:rsidP="00991054">
      <w:pPr>
        <w:spacing w:line="276" w:lineRule="auto"/>
        <w:rPr>
          <w:rFonts w:ascii="Roboto" w:hAnsi="Roboto"/>
          <w:b/>
          <w:bCs/>
          <w:lang w:val="en-US"/>
        </w:rPr>
      </w:pPr>
      <w:r>
        <w:rPr>
          <w:rFonts w:ascii="Roboto" w:hAnsi="Roboto"/>
          <w:b/>
          <w:bCs/>
          <w:lang w:val="en-US"/>
        </w:rPr>
        <w:t xml:space="preserve">Q8. </w:t>
      </w:r>
      <w:r w:rsidR="009258E6" w:rsidRPr="009258E6">
        <w:rPr>
          <w:rFonts w:ascii="Roboto" w:hAnsi="Roboto"/>
          <w:b/>
          <w:bCs/>
          <w:lang w:val="en-US"/>
        </w:rPr>
        <w:t>Do you agree with the proposed amendment to Rule 6.4 to account for operators with absolute targets?</w:t>
      </w:r>
    </w:p>
    <w:p w14:paraId="4F836F35" w14:textId="365D6E48" w:rsidR="009258E6" w:rsidRDefault="009258E6" w:rsidP="0079076E">
      <w:pPr>
        <w:spacing w:line="276" w:lineRule="auto"/>
        <w:ind w:left="720"/>
        <w:rPr>
          <w:rFonts w:ascii="Roboto" w:hAnsi="Roboto"/>
          <w:lang w:val="en-US"/>
        </w:rPr>
      </w:pPr>
      <w:r>
        <w:rPr>
          <w:rFonts w:ascii="Roboto" w:hAnsi="Roboto"/>
          <w:lang w:val="en-US"/>
        </w:rPr>
        <w:t>Yes.</w:t>
      </w:r>
    </w:p>
    <w:p w14:paraId="2F2DED16" w14:textId="116D0BD8" w:rsidR="009258E6" w:rsidRPr="009258E6" w:rsidRDefault="009258E6" w:rsidP="005B1A32">
      <w:pPr>
        <w:spacing w:before="240" w:line="276" w:lineRule="auto"/>
        <w:rPr>
          <w:rFonts w:ascii="Roboto" w:hAnsi="Roboto"/>
          <w:b/>
          <w:bCs/>
          <w:lang w:val="en-US"/>
        </w:rPr>
      </w:pPr>
      <w:r>
        <w:rPr>
          <w:rFonts w:ascii="Roboto" w:hAnsi="Roboto"/>
          <w:b/>
          <w:bCs/>
          <w:lang w:val="en-US"/>
        </w:rPr>
        <w:t xml:space="preserve">Q9. </w:t>
      </w:r>
      <w:r w:rsidR="00410508" w:rsidRPr="00410508">
        <w:rPr>
          <w:rFonts w:ascii="Roboto" w:hAnsi="Roboto"/>
          <w:b/>
          <w:bCs/>
          <w:lang w:val="en-US"/>
        </w:rPr>
        <w:t>Do you agree with the proposal to introduce mandatory reporting to the Environment Agency of action taken in Target Period 6 by 1 May 2025?</w:t>
      </w:r>
    </w:p>
    <w:p w14:paraId="18FA5695" w14:textId="5EABB2EA" w:rsidR="00BA6836" w:rsidRPr="00BA6836" w:rsidRDefault="00BA6836" w:rsidP="0079076E">
      <w:pPr>
        <w:spacing w:line="276" w:lineRule="auto"/>
        <w:ind w:left="720"/>
        <w:rPr>
          <w:rFonts w:ascii="Roboto" w:hAnsi="Roboto"/>
        </w:rPr>
      </w:pPr>
      <w:r w:rsidRPr="00BA6836">
        <w:rPr>
          <w:rFonts w:ascii="Roboto" w:hAnsi="Roboto"/>
        </w:rPr>
        <w:t>No. Our main concerns are twofold: (1) confidentiality, (2) extra reporting burden.</w:t>
      </w:r>
    </w:p>
    <w:p w14:paraId="56D83EEF" w14:textId="77777777" w:rsidR="00BA6836" w:rsidRPr="00BA6836" w:rsidRDefault="00BA6836" w:rsidP="0079076E">
      <w:pPr>
        <w:spacing w:line="276" w:lineRule="auto"/>
        <w:ind w:left="720"/>
        <w:rPr>
          <w:rFonts w:ascii="Roboto" w:hAnsi="Roboto"/>
        </w:rPr>
      </w:pPr>
      <w:r w:rsidRPr="00BA6836">
        <w:rPr>
          <w:rFonts w:ascii="Roboto" w:hAnsi="Roboto"/>
        </w:rPr>
        <w:t xml:space="preserve">(1) Commercially sensitive information cannot not be disclosed.  Any information relating to how energy is used at a site could be deemed confidential as it could relate to bespoke processes or novel technologies which give rise to a competitive advantage.  If such information had to be </w:t>
      </w:r>
      <w:proofErr w:type="gramStart"/>
      <w:r w:rsidRPr="00BA6836">
        <w:rPr>
          <w:rFonts w:ascii="Roboto" w:hAnsi="Roboto"/>
        </w:rPr>
        <w:t>disclosed</w:t>
      </w:r>
      <w:proofErr w:type="gramEnd"/>
      <w:r w:rsidRPr="00BA6836">
        <w:rPr>
          <w:rFonts w:ascii="Roboto" w:hAnsi="Roboto"/>
        </w:rPr>
        <w:t xml:space="preserve"> then how will the Administrator handle it and prevent it being the subject of an FoI request?   </w:t>
      </w:r>
    </w:p>
    <w:p w14:paraId="6ACE7B94" w14:textId="40F3487E" w:rsidR="00BA6836" w:rsidRDefault="00BA6836" w:rsidP="0079076E">
      <w:pPr>
        <w:spacing w:line="276" w:lineRule="auto"/>
        <w:ind w:left="720"/>
        <w:rPr>
          <w:rFonts w:ascii="Roboto" w:hAnsi="Roboto"/>
        </w:rPr>
      </w:pPr>
      <w:r w:rsidRPr="00BA6836">
        <w:rPr>
          <w:rFonts w:ascii="Roboto" w:hAnsi="Roboto"/>
        </w:rPr>
        <w:t xml:space="preserve">(2) This will add an additional administrative burden on to participants.  Government should consider the proportionality of the extra information provision versus the benefit that the different companies get.  </w:t>
      </w:r>
    </w:p>
    <w:p w14:paraId="27E77C2F" w14:textId="2DEFFD20" w:rsidR="005B1A32" w:rsidRDefault="005B1A32" w:rsidP="005B1A32">
      <w:pPr>
        <w:spacing w:line="276" w:lineRule="auto"/>
        <w:rPr>
          <w:rFonts w:ascii="Roboto" w:hAnsi="Roboto"/>
          <w:b/>
          <w:bCs/>
          <w:lang w:val="en-US"/>
        </w:rPr>
      </w:pPr>
      <w:r>
        <w:rPr>
          <w:rFonts w:ascii="Roboto" w:hAnsi="Roboto"/>
          <w:b/>
          <w:bCs/>
        </w:rPr>
        <w:t xml:space="preserve">Q10. </w:t>
      </w:r>
      <w:r w:rsidR="00125C05" w:rsidRPr="00125C05">
        <w:rPr>
          <w:rFonts w:ascii="Roboto" w:hAnsi="Roboto"/>
          <w:b/>
          <w:bCs/>
          <w:lang w:val="en-US"/>
        </w:rPr>
        <w:t xml:space="preserve">What are your views on extending this reporting to include provision of further evidence of energy efficiency and </w:t>
      </w:r>
      <w:proofErr w:type="spellStart"/>
      <w:r w:rsidR="00125C05" w:rsidRPr="00125C05">
        <w:rPr>
          <w:rFonts w:ascii="Roboto" w:hAnsi="Roboto"/>
          <w:b/>
          <w:bCs/>
          <w:lang w:val="en-US"/>
        </w:rPr>
        <w:t>decarbonisation</w:t>
      </w:r>
      <w:proofErr w:type="spellEnd"/>
      <w:r w:rsidR="00125C05" w:rsidRPr="00125C05">
        <w:rPr>
          <w:rFonts w:ascii="Roboto" w:hAnsi="Roboto"/>
          <w:b/>
          <w:bCs/>
          <w:lang w:val="en-US"/>
        </w:rPr>
        <w:t xml:space="preserve"> potential?</w:t>
      </w:r>
    </w:p>
    <w:p w14:paraId="624F0B9E" w14:textId="13B34005" w:rsidR="00E431F2" w:rsidRPr="00E431F2" w:rsidRDefault="00E431F2" w:rsidP="0079076E">
      <w:pPr>
        <w:spacing w:line="276" w:lineRule="auto"/>
        <w:ind w:left="720"/>
        <w:rPr>
          <w:rFonts w:ascii="Roboto" w:hAnsi="Roboto"/>
          <w:lang w:val="en-US"/>
        </w:rPr>
      </w:pPr>
      <w:r w:rsidRPr="00E431F2">
        <w:rPr>
          <w:rFonts w:ascii="Roboto" w:hAnsi="Roboto"/>
          <w:lang w:val="en-US"/>
        </w:rPr>
        <w:t xml:space="preserve">Do not agree. Extending disclosure to include potential is beyond current 14.2.2 wording and can be viewed as scope creep.   </w:t>
      </w:r>
    </w:p>
    <w:p w14:paraId="0D7D9E85" w14:textId="6D5D4B25" w:rsidR="00E431F2" w:rsidRPr="00E431F2" w:rsidRDefault="00E431F2" w:rsidP="0079076E">
      <w:pPr>
        <w:spacing w:line="276" w:lineRule="auto"/>
        <w:ind w:left="720"/>
        <w:rPr>
          <w:rFonts w:ascii="Roboto" w:hAnsi="Roboto"/>
          <w:lang w:val="en-US"/>
        </w:rPr>
      </w:pPr>
      <w:r w:rsidRPr="00E431F2">
        <w:rPr>
          <w:rFonts w:ascii="Roboto" w:hAnsi="Roboto"/>
          <w:lang w:val="en-US"/>
        </w:rPr>
        <w:t>As per our answer to Q9, our main concerns are twofold: (1) confidentiality, (2) extra reporting burden.</w:t>
      </w:r>
    </w:p>
    <w:p w14:paraId="2736F9EF" w14:textId="60472632" w:rsidR="00E431F2" w:rsidRPr="00E431F2" w:rsidRDefault="00462CB4" w:rsidP="0079076E">
      <w:pPr>
        <w:spacing w:line="276" w:lineRule="auto"/>
        <w:ind w:left="720"/>
        <w:rPr>
          <w:rFonts w:ascii="Roboto" w:hAnsi="Roboto"/>
          <w:lang w:val="en-US"/>
        </w:rPr>
      </w:pPr>
      <w:r>
        <w:rPr>
          <w:rFonts w:ascii="Roboto" w:hAnsi="Roboto"/>
          <w:lang w:val="en-US"/>
        </w:rPr>
        <w:t xml:space="preserve">1. </w:t>
      </w:r>
      <w:r w:rsidR="00E431F2" w:rsidRPr="00E431F2">
        <w:rPr>
          <w:rFonts w:ascii="Roboto" w:hAnsi="Roboto"/>
          <w:lang w:val="en-US"/>
        </w:rPr>
        <w:t xml:space="preserve">Commercially sensitive information cannot not be disclosed.  Any information relating to how energy is used at a site could be deemed confidential as it could relate to bespoke </w:t>
      </w:r>
      <w:r w:rsidR="00E431F2" w:rsidRPr="00E431F2">
        <w:rPr>
          <w:rFonts w:ascii="Roboto" w:hAnsi="Roboto"/>
          <w:lang w:val="en-US"/>
        </w:rPr>
        <w:lastRenderedPageBreak/>
        <w:t xml:space="preserve">processes or novel technologies which give rise to a competitive advantage.  If such information had to be </w:t>
      </w:r>
      <w:r w:rsidRPr="00E431F2">
        <w:rPr>
          <w:rFonts w:ascii="Roboto" w:hAnsi="Roboto"/>
          <w:lang w:val="en-US"/>
        </w:rPr>
        <w:t>disclosed,</w:t>
      </w:r>
      <w:r w:rsidR="00E431F2" w:rsidRPr="00E431F2">
        <w:rPr>
          <w:rFonts w:ascii="Roboto" w:hAnsi="Roboto"/>
          <w:lang w:val="en-US"/>
        </w:rPr>
        <w:t xml:space="preserve"> then how will the Administrator handle it and prevent it being the subject of </w:t>
      </w:r>
      <w:proofErr w:type="gramStart"/>
      <w:r w:rsidR="00E431F2" w:rsidRPr="00E431F2">
        <w:rPr>
          <w:rFonts w:ascii="Roboto" w:hAnsi="Roboto"/>
          <w:lang w:val="en-US"/>
        </w:rPr>
        <w:t>an</w:t>
      </w:r>
      <w:proofErr w:type="gramEnd"/>
      <w:r w:rsidR="00E431F2" w:rsidRPr="00E431F2">
        <w:rPr>
          <w:rFonts w:ascii="Roboto" w:hAnsi="Roboto"/>
          <w:lang w:val="en-US"/>
        </w:rPr>
        <w:t xml:space="preserve"> FoI request?   </w:t>
      </w:r>
    </w:p>
    <w:p w14:paraId="0FD8C58B" w14:textId="4B2E4396" w:rsidR="00125C05" w:rsidRDefault="00462CB4" w:rsidP="0079076E">
      <w:pPr>
        <w:spacing w:line="276" w:lineRule="auto"/>
        <w:ind w:left="720"/>
        <w:rPr>
          <w:rFonts w:ascii="Roboto" w:hAnsi="Roboto"/>
          <w:lang w:val="en-US"/>
        </w:rPr>
      </w:pPr>
      <w:r>
        <w:rPr>
          <w:rFonts w:ascii="Roboto" w:hAnsi="Roboto"/>
          <w:lang w:val="en-US"/>
        </w:rPr>
        <w:t xml:space="preserve">2. </w:t>
      </w:r>
      <w:r w:rsidR="00E431F2" w:rsidRPr="00E431F2">
        <w:rPr>
          <w:rFonts w:ascii="Roboto" w:hAnsi="Roboto"/>
          <w:lang w:val="en-US"/>
        </w:rPr>
        <w:t>This will add an additional administrative burden on to participants.  Government should consider the proportionality of the extra information provision versus the benefit that the different companies get.  There will be an extra cost to obtain the extra information required if the site has not had a detailed ESOS or other type of audit, this could be especially time consuming and expensive for SME's.</w:t>
      </w:r>
    </w:p>
    <w:p w14:paraId="21EA8DDB" w14:textId="74E72357" w:rsidR="0033139A" w:rsidRDefault="0033139A" w:rsidP="00E431F2">
      <w:pPr>
        <w:spacing w:line="276" w:lineRule="auto"/>
        <w:rPr>
          <w:rFonts w:ascii="Roboto" w:hAnsi="Roboto"/>
          <w:b/>
          <w:bCs/>
          <w:lang w:val="en-US"/>
        </w:rPr>
      </w:pPr>
      <w:r>
        <w:rPr>
          <w:rFonts w:ascii="Roboto" w:hAnsi="Roboto"/>
          <w:b/>
          <w:bCs/>
          <w:lang w:val="en-US"/>
        </w:rPr>
        <w:t xml:space="preserve">Q11. </w:t>
      </w:r>
      <w:r w:rsidRPr="0033139A">
        <w:rPr>
          <w:rFonts w:ascii="Roboto" w:hAnsi="Roboto"/>
          <w:b/>
          <w:bCs/>
          <w:lang w:val="en-US"/>
        </w:rPr>
        <w:t>Do you agree with the proposal to increase the buy-out price to £25/tCO2e?</w:t>
      </w:r>
    </w:p>
    <w:p w14:paraId="2172D76D" w14:textId="03EE9FC9" w:rsidR="00CC5E95" w:rsidRPr="00CC5E95" w:rsidRDefault="00CC5E95" w:rsidP="0079076E">
      <w:pPr>
        <w:spacing w:line="276" w:lineRule="auto"/>
        <w:ind w:left="720"/>
        <w:rPr>
          <w:rFonts w:ascii="Roboto" w:hAnsi="Roboto"/>
          <w:lang w:val="en-US"/>
        </w:rPr>
      </w:pPr>
      <w:r w:rsidRPr="00CC5E95">
        <w:rPr>
          <w:rFonts w:ascii="Roboto" w:hAnsi="Roboto"/>
          <w:lang w:val="en-US"/>
        </w:rPr>
        <w:t xml:space="preserve">No.  Any cost increase </w:t>
      </w:r>
      <w:r w:rsidR="00303A40" w:rsidRPr="00CC5E95">
        <w:rPr>
          <w:rFonts w:ascii="Roboto" w:hAnsi="Roboto"/>
          <w:lang w:val="en-US"/>
        </w:rPr>
        <w:t>for</w:t>
      </w:r>
      <w:r w:rsidRPr="00CC5E95">
        <w:rPr>
          <w:rFonts w:ascii="Roboto" w:hAnsi="Roboto"/>
          <w:lang w:val="en-US"/>
        </w:rPr>
        <w:t xml:space="preserve"> businesses should be avoided in the current economic climate when there are so many financial pressures on companies and their customers.</w:t>
      </w:r>
    </w:p>
    <w:p w14:paraId="645BCDA8" w14:textId="4C04B36E" w:rsidR="00125C05" w:rsidRDefault="00BA6836" w:rsidP="005B1A32">
      <w:pPr>
        <w:spacing w:line="276" w:lineRule="auto"/>
        <w:rPr>
          <w:rFonts w:ascii="Roboto" w:hAnsi="Roboto"/>
          <w:b/>
          <w:bCs/>
        </w:rPr>
      </w:pPr>
      <w:r w:rsidRPr="00BA6836">
        <w:rPr>
          <w:rFonts w:ascii="Roboto" w:hAnsi="Roboto"/>
          <w:b/>
          <w:bCs/>
        </w:rPr>
        <w:t>Q1</w:t>
      </w:r>
      <w:r w:rsidR="0033139A">
        <w:rPr>
          <w:rFonts w:ascii="Roboto" w:hAnsi="Roboto"/>
          <w:b/>
          <w:bCs/>
        </w:rPr>
        <w:t>2</w:t>
      </w:r>
      <w:r w:rsidRPr="00BA6836">
        <w:rPr>
          <w:rFonts w:ascii="Roboto" w:hAnsi="Roboto"/>
          <w:b/>
          <w:bCs/>
        </w:rPr>
        <w:t>.</w:t>
      </w:r>
      <w:r w:rsidR="003C3034" w:rsidRPr="003C3034">
        <w:t xml:space="preserve"> </w:t>
      </w:r>
      <w:r w:rsidR="003C3034" w:rsidRPr="003C3034">
        <w:rPr>
          <w:rFonts w:ascii="Roboto" w:hAnsi="Roboto"/>
          <w:b/>
          <w:bCs/>
        </w:rPr>
        <w:t>Do you agree with the proposal to increase the minimum financial penalty from £250 to £500?</w:t>
      </w:r>
    </w:p>
    <w:p w14:paraId="193A16D1" w14:textId="3AB5E3E5" w:rsidR="003C3034" w:rsidRPr="00C4736D" w:rsidRDefault="00C4736D" w:rsidP="0079076E">
      <w:pPr>
        <w:spacing w:line="276" w:lineRule="auto"/>
        <w:ind w:left="720"/>
        <w:rPr>
          <w:rFonts w:ascii="Roboto" w:hAnsi="Roboto"/>
        </w:rPr>
      </w:pPr>
      <w:r w:rsidRPr="00C4736D">
        <w:rPr>
          <w:rFonts w:ascii="Roboto" w:hAnsi="Roboto"/>
        </w:rPr>
        <w:t>No.  Any cost increase on businesses should be avoided in the current economic climate when there are so many financial pressures on companies and their customers.</w:t>
      </w:r>
    </w:p>
    <w:p w14:paraId="3FC0B6A9" w14:textId="50621CBE" w:rsidR="00BA6836" w:rsidRDefault="0068452F" w:rsidP="005B1A32">
      <w:pPr>
        <w:spacing w:line="276" w:lineRule="auto"/>
        <w:rPr>
          <w:rFonts w:ascii="Roboto" w:hAnsi="Roboto"/>
          <w:b/>
          <w:bCs/>
        </w:rPr>
      </w:pPr>
      <w:r>
        <w:rPr>
          <w:rFonts w:ascii="Roboto" w:hAnsi="Roboto"/>
          <w:b/>
          <w:bCs/>
        </w:rPr>
        <w:t xml:space="preserve">Q13. </w:t>
      </w:r>
      <w:r w:rsidR="006C4DA8" w:rsidRPr="006C4DA8">
        <w:rPr>
          <w:rFonts w:ascii="Roboto" w:hAnsi="Roboto"/>
          <w:b/>
          <w:bCs/>
        </w:rPr>
        <w:t>Do you agree with the proposal to increase the financial penalty price for providing inaccurate Target Period data in line with the buy-out cost per tCO2e for TP6?</w:t>
      </w:r>
    </w:p>
    <w:p w14:paraId="0A951B86" w14:textId="50606002" w:rsidR="006C4DA8" w:rsidRDefault="006C4DA8" w:rsidP="0079076E">
      <w:pPr>
        <w:spacing w:line="276" w:lineRule="auto"/>
        <w:ind w:left="720"/>
        <w:rPr>
          <w:rFonts w:ascii="Roboto" w:hAnsi="Roboto"/>
        </w:rPr>
      </w:pPr>
      <w:r>
        <w:rPr>
          <w:rFonts w:ascii="Roboto" w:hAnsi="Roboto"/>
        </w:rPr>
        <w:t>No comment.</w:t>
      </w:r>
    </w:p>
    <w:p w14:paraId="45D0B212" w14:textId="71A74602" w:rsidR="006C4DA8" w:rsidRDefault="00F45CE8" w:rsidP="005B1A32">
      <w:pPr>
        <w:spacing w:line="276" w:lineRule="auto"/>
        <w:rPr>
          <w:rFonts w:ascii="Roboto" w:hAnsi="Roboto"/>
          <w:b/>
          <w:bCs/>
        </w:rPr>
      </w:pPr>
      <w:r>
        <w:rPr>
          <w:rFonts w:ascii="Roboto" w:hAnsi="Roboto"/>
          <w:b/>
          <w:bCs/>
        </w:rPr>
        <w:t xml:space="preserve">Q14. </w:t>
      </w:r>
      <w:r w:rsidRPr="00F45CE8">
        <w:rPr>
          <w:rFonts w:ascii="Roboto" w:hAnsi="Roboto"/>
          <w:b/>
          <w:bCs/>
        </w:rPr>
        <w:t>Do you agree with giving the scheme administrator discretion to waive or reduce penalty amount when considered appropriate?</w:t>
      </w:r>
    </w:p>
    <w:p w14:paraId="5CFDB208" w14:textId="1ED0E5CB" w:rsidR="00F45CE8" w:rsidRDefault="00F45CE8" w:rsidP="0079076E">
      <w:pPr>
        <w:spacing w:line="276" w:lineRule="auto"/>
        <w:ind w:left="720"/>
        <w:rPr>
          <w:rFonts w:ascii="Roboto" w:hAnsi="Roboto"/>
        </w:rPr>
      </w:pPr>
      <w:r>
        <w:rPr>
          <w:rFonts w:ascii="Roboto" w:hAnsi="Roboto"/>
        </w:rPr>
        <w:t>Yes.</w:t>
      </w:r>
    </w:p>
    <w:p w14:paraId="2A6ADE78" w14:textId="7FE7052F" w:rsidR="00F45CE8" w:rsidRDefault="00F45CE8" w:rsidP="005B1A32">
      <w:pPr>
        <w:spacing w:line="276" w:lineRule="auto"/>
        <w:rPr>
          <w:rFonts w:ascii="Roboto" w:hAnsi="Roboto"/>
          <w:b/>
          <w:bCs/>
        </w:rPr>
      </w:pPr>
      <w:r>
        <w:rPr>
          <w:rFonts w:ascii="Roboto" w:hAnsi="Roboto"/>
          <w:b/>
          <w:bCs/>
        </w:rPr>
        <w:t xml:space="preserve">Q15. </w:t>
      </w:r>
      <w:r w:rsidR="001C7789" w:rsidRPr="001C7789">
        <w:rPr>
          <w:rFonts w:ascii="Roboto" w:hAnsi="Roboto"/>
          <w:b/>
          <w:bCs/>
        </w:rPr>
        <w:t>In which situations do you believe it would be appropriate for a penalty to be waived or reduced?</w:t>
      </w:r>
    </w:p>
    <w:p w14:paraId="05CAD79F" w14:textId="4D8C1AAD" w:rsidR="0079076E" w:rsidRDefault="00F95C20" w:rsidP="0079076E">
      <w:pPr>
        <w:spacing w:line="276" w:lineRule="auto"/>
        <w:ind w:left="720"/>
        <w:rPr>
          <w:rFonts w:ascii="Roboto" w:hAnsi="Roboto"/>
        </w:rPr>
      </w:pPr>
      <w:r w:rsidRPr="00F95C20">
        <w:rPr>
          <w:rFonts w:ascii="Roboto" w:hAnsi="Roboto"/>
        </w:rPr>
        <w:t xml:space="preserve">Penalties should reflect the nature of the infringement, there have been instances in the scheme </w:t>
      </w:r>
      <w:r w:rsidR="0079076E" w:rsidRPr="00F95C20">
        <w:rPr>
          <w:rFonts w:ascii="Roboto" w:hAnsi="Roboto"/>
        </w:rPr>
        <w:t>where</w:t>
      </w:r>
      <w:r w:rsidRPr="00F95C20">
        <w:rPr>
          <w:rFonts w:ascii="Roboto" w:hAnsi="Roboto"/>
        </w:rPr>
        <w:t xml:space="preserve"> penalties have been significantly out of proportion to what has happened.   </w:t>
      </w:r>
    </w:p>
    <w:p w14:paraId="5867198F" w14:textId="70A5B730" w:rsidR="00314357" w:rsidRDefault="00F95C20" w:rsidP="0079076E">
      <w:pPr>
        <w:spacing w:line="276" w:lineRule="auto"/>
        <w:ind w:left="720"/>
        <w:rPr>
          <w:rFonts w:ascii="Roboto" w:hAnsi="Roboto"/>
        </w:rPr>
      </w:pPr>
      <w:r w:rsidRPr="00F95C20">
        <w:rPr>
          <w:rFonts w:ascii="Roboto" w:hAnsi="Roboto"/>
        </w:rPr>
        <w:t>The details of each case should be assessed and some allowance for materiality being employed. First time errors / mistakes should not lead to a penalty, nor should data corrections due to later invoice corrections by 3rd parties such as the energy supplier.</w:t>
      </w:r>
    </w:p>
    <w:p w14:paraId="3FBE6354" w14:textId="74B89348" w:rsidR="00F95C20" w:rsidRDefault="00F95C20" w:rsidP="005B1A32">
      <w:pPr>
        <w:spacing w:line="276" w:lineRule="auto"/>
        <w:rPr>
          <w:rFonts w:ascii="Roboto" w:hAnsi="Roboto"/>
          <w:b/>
          <w:bCs/>
        </w:rPr>
      </w:pPr>
      <w:r>
        <w:rPr>
          <w:rFonts w:ascii="Roboto" w:hAnsi="Roboto"/>
          <w:b/>
          <w:bCs/>
        </w:rPr>
        <w:t xml:space="preserve">Q16. </w:t>
      </w:r>
      <w:r w:rsidR="00AB3A69" w:rsidRPr="00AB3A69">
        <w:rPr>
          <w:rFonts w:ascii="Roboto" w:hAnsi="Roboto"/>
          <w:b/>
          <w:bCs/>
        </w:rPr>
        <w:t>Do you agree with the proposal to maintain scheme rules for the purpose of this extension?</w:t>
      </w:r>
    </w:p>
    <w:p w14:paraId="121EDD4F" w14:textId="562B02AF" w:rsidR="00AB3A69" w:rsidRDefault="00AB3A69" w:rsidP="0079076E">
      <w:pPr>
        <w:spacing w:line="276" w:lineRule="auto"/>
        <w:ind w:left="720"/>
        <w:rPr>
          <w:rFonts w:ascii="Roboto" w:hAnsi="Roboto"/>
        </w:rPr>
      </w:pPr>
      <w:r>
        <w:rPr>
          <w:rFonts w:ascii="Roboto" w:hAnsi="Roboto"/>
        </w:rPr>
        <w:t>Yes.</w:t>
      </w:r>
    </w:p>
    <w:p w14:paraId="2FAC1BA6" w14:textId="3B9543E1" w:rsidR="00AB3A69" w:rsidRPr="00AB3A69" w:rsidRDefault="00AB3A69" w:rsidP="005B1A32">
      <w:pPr>
        <w:spacing w:line="276" w:lineRule="auto"/>
        <w:rPr>
          <w:rFonts w:ascii="Roboto" w:hAnsi="Roboto"/>
          <w:b/>
          <w:bCs/>
        </w:rPr>
      </w:pPr>
      <w:r>
        <w:rPr>
          <w:rFonts w:ascii="Roboto" w:hAnsi="Roboto"/>
          <w:b/>
          <w:bCs/>
        </w:rPr>
        <w:t xml:space="preserve">Q17. </w:t>
      </w:r>
      <w:r w:rsidR="00C97430" w:rsidRPr="00C97430">
        <w:rPr>
          <w:rFonts w:ascii="Roboto" w:hAnsi="Roboto"/>
          <w:b/>
          <w:bCs/>
        </w:rPr>
        <w:t>Beyond the proposals listed above, are there any other reforms / changes you would recommend for this extension?</w:t>
      </w:r>
    </w:p>
    <w:p w14:paraId="0A912258" w14:textId="000B2FBD" w:rsidR="00AE7BEC" w:rsidRPr="00AE7BEC" w:rsidRDefault="00AE7BEC" w:rsidP="0079076E">
      <w:pPr>
        <w:spacing w:line="276" w:lineRule="auto"/>
        <w:ind w:left="720"/>
        <w:rPr>
          <w:rFonts w:ascii="Roboto" w:hAnsi="Roboto"/>
        </w:rPr>
      </w:pPr>
      <w:r w:rsidRPr="00AE7BEC">
        <w:rPr>
          <w:rFonts w:ascii="Roboto" w:hAnsi="Roboto"/>
        </w:rPr>
        <w:t xml:space="preserve">A widening of the new </w:t>
      </w:r>
      <w:r w:rsidR="00303A40" w:rsidRPr="00AE7BEC">
        <w:rPr>
          <w:rFonts w:ascii="Roboto" w:hAnsi="Roboto"/>
        </w:rPr>
        <w:t>entrants’</w:t>
      </w:r>
      <w:r w:rsidRPr="00AE7BEC">
        <w:rPr>
          <w:rFonts w:ascii="Roboto" w:hAnsi="Roboto"/>
        </w:rPr>
        <w:t xml:space="preserve"> window into 2024; this was achieved during the first CCA scheme and we have never received a satisfactory explanation about why this cannot be implemented again. Introduction of a </w:t>
      </w:r>
      <w:r w:rsidRPr="00303A40">
        <w:rPr>
          <w:rFonts w:ascii="Roboto" w:hAnsi="Roboto"/>
          <w:i/>
          <w:iCs/>
        </w:rPr>
        <w:t xml:space="preserve">de </w:t>
      </w:r>
      <w:proofErr w:type="spellStart"/>
      <w:r w:rsidRPr="00303A40">
        <w:rPr>
          <w:rFonts w:ascii="Roboto" w:hAnsi="Roboto"/>
          <w:i/>
          <w:iCs/>
        </w:rPr>
        <w:t>minimus</w:t>
      </w:r>
      <w:proofErr w:type="spellEnd"/>
      <w:r w:rsidRPr="00AE7BEC">
        <w:rPr>
          <w:rFonts w:ascii="Roboto" w:hAnsi="Roboto"/>
        </w:rPr>
        <w:t xml:space="preserve"> for penalties; incurring high penalty and administrative costs for immaterial changes is a waste of time for all stakeholders.   </w:t>
      </w:r>
    </w:p>
    <w:p w14:paraId="1A173DAB" w14:textId="6BF07E88" w:rsidR="00AE7BEC" w:rsidRPr="00AE7BEC" w:rsidRDefault="00AE7BEC" w:rsidP="0079076E">
      <w:pPr>
        <w:spacing w:line="276" w:lineRule="auto"/>
        <w:ind w:left="720"/>
        <w:rPr>
          <w:rFonts w:ascii="Roboto" w:hAnsi="Roboto"/>
        </w:rPr>
      </w:pPr>
      <w:r w:rsidRPr="00AE7BEC">
        <w:rPr>
          <w:rFonts w:ascii="Roboto" w:hAnsi="Roboto"/>
        </w:rPr>
        <w:lastRenderedPageBreak/>
        <w:t xml:space="preserve">Need to ensure </w:t>
      </w:r>
      <w:r w:rsidR="00303A40" w:rsidRPr="00AE7BEC">
        <w:rPr>
          <w:rFonts w:ascii="Roboto" w:hAnsi="Roboto"/>
        </w:rPr>
        <w:t>SMEs</w:t>
      </w:r>
      <w:r w:rsidRPr="00AE7BEC">
        <w:rPr>
          <w:rFonts w:ascii="Roboto" w:hAnsi="Roboto"/>
        </w:rPr>
        <w:t xml:space="preserve"> are not adversely impacted by any scheme changes; some changes will be disproportionately bigger for an SME versus a larger company.   </w:t>
      </w:r>
    </w:p>
    <w:p w14:paraId="51367968" w14:textId="6464C7ED" w:rsidR="00AE7BEC" w:rsidRPr="00AE7BEC" w:rsidRDefault="00AE7BEC" w:rsidP="0079076E">
      <w:pPr>
        <w:spacing w:line="276" w:lineRule="auto"/>
        <w:ind w:left="720"/>
        <w:rPr>
          <w:rFonts w:ascii="Roboto" w:hAnsi="Roboto"/>
        </w:rPr>
      </w:pPr>
      <w:r w:rsidRPr="00AE7BEC">
        <w:rPr>
          <w:rFonts w:ascii="Roboto" w:hAnsi="Roboto"/>
        </w:rPr>
        <w:t xml:space="preserve">Government should carefully consider the impacts of increasing compliance costs at a time when there are severe cost pressures in the industry following Brexit, covid, war in Ukraine, rising inflation and the </w:t>
      </w:r>
      <w:r w:rsidR="00303A40" w:rsidRPr="00AE7BEC">
        <w:rPr>
          <w:rFonts w:ascii="Roboto" w:hAnsi="Roboto"/>
        </w:rPr>
        <w:t>cost-of-living</w:t>
      </w:r>
      <w:r w:rsidRPr="00AE7BEC">
        <w:rPr>
          <w:rFonts w:ascii="Roboto" w:hAnsi="Roboto"/>
        </w:rPr>
        <w:t xml:space="preserve"> crisis. Increased compliance costs would add to these pressures and potentially take away money for investment in energy reduction or decarbonisation measures.</w:t>
      </w:r>
    </w:p>
    <w:p w14:paraId="202D051E" w14:textId="31DC6AEA" w:rsidR="005B1A32" w:rsidRPr="00AE7BEC" w:rsidRDefault="00AE7BEC" w:rsidP="0079076E">
      <w:pPr>
        <w:spacing w:line="276" w:lineRule="auto"/>
        <w:ind w:left="720"/>
        <w:rPr>
          <w:rFonts w:ascii="Roboto" w:hAnsi="Roboto"/>
        </w:rPr>
      </w:pPr>
      <w:r w:rsidRPr="00AE7BEC">
        <w:rPr>
          <w:rFonts w:ascii="Roboto" w:hAnsi="Roboto"/>
        </w:rPr>
        <w:t>Renewable energy procurement and the additional upfront cost of this supply should be recognised as part of the energy efficiency and decarbonisation scheme. Operators often procure renewable energy up to three years ahead, which send sends a strong signal to the market and drive renewable energy development as per in line with UK Government policy. in exactly the way that government wishes.</w:t>
      </w:r>
    </w:p>
    <w:p w14:paraId="72885AF9" w14:textId="35353BBF" w:rsidR="00AE7BEC" w:rsidRDefault="00AE7BEC" w:rsidP="00AE7BEC">
      <w:pPr>
        <w:spacing w:line="276" w:lineRule="auto"/>
        <w:rPr>
          <w:rFonts w:ascii="Roboto" w:hAnsi="Roboto"/>
          <w:b/>
          <w:bCs/>
        </w:rPr>
      </w:pPr>
      <w:r>
        <w:rPr>
          <w:rFonts w:ascii="Roboto" w:hAnsi="Roboto"/>
          <w:b/>
          <w:bCs/>
        </w:rPr>
        <w:t xml:space="preserve">Q18. </w:t>
      </w:r>
      <w:r w:rsidR="00693FA7" w:rsidRPr="00693FA7">
        <w:rPr>
          <w:rFonts w:ascii="Roboto" w:hAnsi="Roboto"/>
          <w:b/>
          <w:bCs/>
        </w:rPr>
        <w:t>Do you agree with the proposed timeline for the target setting and agreement variation process?</w:t>
      </w:r>
    </w:p>
    <w:p w14:paraId="26B746E7" w14:textId="798A4AD4" w:rsidR="00FD418F" w:rsidRDefault="00FD418F" w:rsidP="0079076E">
      <w:pPr>
        <w:spacing w:line="276" w:lineRule="auto"/>
        <w:ind w:left="720"/>
        <w:rPr>
          <w:rFonts w:ascii="Roboto" w:hAnsi="Roboto"/>
        </w:rPr>
      </w:pPr>
      <w:r w:rsidRPr="00FD418F">
        <w:rPr>
          <w:rFonts w:ascii="Roboto" w:hAnsi="Roboto"/>
        </w:rPr>
        <w:t xml:space="preserve">Target setting timeline is too short, realistically only having a month to pull together a viable counter proposal is too short a time.  </w:t>
      </w:r>
      <w:r w:rsidR="00303A40">
        <w:rPr>
          <w:rFonts w:ascii="Roboto" w:hAnsi="Roboto"/>
        </w:rPr>
        <w:t>H</w:t>
      </w:r>
      <w:r w:rsidR="00303A40" w:rsidRPr="00FD418F">
        <w:rPr>
          <w:rFonts w:ascii="Roboto" w:hAnsi="Roboto"/>
        </w:rPr>
        <w:t>owever,</w:t>
      </w:r>
      <w:r w:rsidRPr="00FD418F">
        <w:rPr>
          <w:rFonts w:ascii="Roboto" w:hAnsi="Roboto"/>
        </w:rPr>
        <w:t xml:space="preserve"> the sooner we have an extension in place the better.</w:t>
      </w:r>
    </w:p>
    <w:p w14:paraId="505912F1" w14:textId="45EE65F7" w:rsidR="00FD418F" w:rsidRDefault="00FD418F" w:rsidP="00AE7BEC">
      <w:pPr>
        <w:spacing w:line="276" w:lineRule="auto"/>
        <w:rPr>
          <w:rFonts w:ascii="Roboto" w:hAnsi="Roboto"/>
          <w:b/>
          <w:bCs/>
        </w:rPr>
      </w:pPr>
      <w:r>
        <w:rPr>
          <w:rFonts w:ascii="Roboto" w:hAnsi="Roboto"/>
          <w:b/>
          <w:bCs/>
        </w:rPr>
        <w:t>Q19.</w:t>
      </w:r>
      <w:r w:rsidR="00AF153F" w:rsidRPr="00AF153F">
        <w:t xml:space="preserve"> </w:t>
      </w:r>
      <w:r w:rsidR="00AF153F" w:rsidRPr="00AF153F">
        <w:rPr>
          <w:rFonts w:ascii="Roboto" w:hAnsi="Roboto"/>
          <w:b/>
          <w:bCs/>
        </w:rPr>
        <w:t>How would the proposed timeline affect you and/or businesses within your sector?</w:t>
      </w:r>
    </w:p>
    <w:p w14:paraId="3FC2F1BF" w14:textId="77777777" w:rsidR="0079076E" w:rsidRDefault="00624065" w:rsidP="0079076E">
      <w:pPr>
        <w:spacing w:line="276" w:lineRule="auto"/>
        <w:ind w:left="720"/>
        <w:rPr>
          <w:rFonts w:ascii="Roboto" w:hAnsi="Roboto"/>
        </w:rPr>
      </w:pPr>
      <w:r w:rsidRPr="00624065">
        <w:rPr>
          <w:rFonts w:ascii="Roboto" w:hAnsi="Roboto"/>
        </w:rPr>
        <w:t xml:space="preserve">Time for consultation and target setting response is limited so the sector may not have been able to gather information and views from as broad an audience as we may have liked.   </w:t>
      </w:r>
    </w:p>
    <w:p w14:paraId="0DD34DD5" w14:textId="2071908B" w:rsidR="00624065" w:rsidRPr="00624065" w:rsidRDefault="00624065" w:rsidP="0079076E">
      <w:pPr>
        <w:spacing w:line="276" w:lineRule="auto"/>
        <w:ind w:left="720"/>
        <w:rPr>
          <w:rFonts w:ascii="Roboto" w:hAnsi="Roboto"/>
        </w:rPr>
      </w:pPr>
      <w:r w:rsidRPr="00624065">
        <w:rPr>
          <w:rFonts w:ascii="Roboto" w:hAnsi="Roboto"/>
        </w:rPr>
        <w:t>The extension needs to happen by 2024 in order to continue with some continuity and provide some certainty to this area so it can be factored into decision making.</w:t>
      </w:r>
    </w:p>
    <w:p w14:paraId="7957E547" w14:textId="38BA3BFA" w:rsidR="00FD418F" w:rsidRDefault="00FD418F" w:rsidP="00AE7BEC">
      <w:pPr>
        <w:spacing w:line="276" w:lineRule="auto"/>
        <w:rPr>
          <w:rFonts w:ascii="Roboto" w:hAnsi="Roboto"/>
          <w:b/>
          <w:bCs/>
        </w:rPr>
      </w:pPr>
      <w:r>
        <w:rPr>
          <w:rFonts w:ascii="Roboto" w:hAnsi="Roboto"/>
          <w:b/>
          <w:bCs/>
        </w:rPr>
        <w:t>Q20.</w:t>
      </w:r>
      <w:r w:rsidR="009E4184" w:rsidRPr="009E4184">
        <w:t xml:space="preserve"> </w:t>
      </w:r>
      <w:r w:rsidR="009E4184" w:rsidRPr="009E4184">
        <w:rPr>
          <w:rFonts w:ascii="Roboto" w:hAnsi="Roboto"/>
          <w:b/>
          <w:bCs/>
        </w:rPr>
        <w:t>Do you agree with the proposed approach of collecting facility level data to establish targets for any potential future scheme?</w:t>
      </w:r>
    </w:p>
    <w:p w14:paraId="421E3276" w14:textId="5BE99FCC" w:rsidR="00CE0FD2" w:rsidRPr="00CE0FD2" w:rsidRDefault="00CE0FD2" w:rsidP="0079076E">
      <w:pPr>
        <w:spacing w:line="276" w:lineRule="auto"/>
        <w:ind w:left="720"/>
        <w:rPr>
          <w:rFonts w:ascii="Roboto" w:hAnsi="Roboto"/>
        </w:rPr>
      </w:pPr>
      <w:r w:rsidRPr="00CE0FD2">
        <w:rPr>
          <w:rFonts w:ascii="Roboto" w:hAnsi="Roboto"/>
        </w:rPr>
        <w:t xml:space="preserve">Recent target negotiations have used site level </w:t>
      </w:r>
      <w:r w:rsidR="00303A40" w:rsidRPr="00CE0FD2">
        <w:rPr>
          <w:rFonts w:ascii="Roboto" w:hAnsi="Roboto"/>
        </w:rPr>
        <w:t>data;</w:t>
      </w:r>
      <w:r w:rsidRPr="00CE0FD2">
        <w:rPr>
          <w:rFonts w:ascii="Roboto" w:hAnsi="Roboto"/>
        </w:rPr>
        <w:t xml:space="preserve"> however, this has been supplied by the sector (using existing ESOS reports) not created by Government.  Why can’t ESOS reports continue to be used and hence avoid duplicating audits and analysis?  Only if significant data gaps exist then new site audits would be needed.</w:t>
      </w:r>
    </w:p>
    <w:p w14:paraId="67FDD031" w14:textId="1B82BDF3" w:rsidR="00CE0FD2" w:rsidRPr="00CE0FD2" w:rsidRDefault="00CE0FD2" w:rsidP="0079076E">
      <w:pPr>
        <w:spacing w:line="276" w:lineRule="auto"/>
        <w:ind w:left="720"/>
        <w:rPr>
          <w:rFonts w:ascii="Roboto" w:hAnsi="Roboto"/>
        </w:rPr>
      </w:pPr>
      <w:r w:rsidRPr="00CE0FD2">
        <w:rPr>
          <w:rFonts w:ascii="Roboto" w:hAnsi="Roboto"/>
        </w:rPr>
        <w:t>Confidentiality is crucial and no companies will want to share what they consider to be commercially sensitive information which could lead to competitors gaining an advantage (</w:t>
      </w:r>
      <w:proofErr w:type="gramStart"/>
      <w:r w:rsidRPr="00CE0FD2">
        <w:rPr>
          <w:rFonts w:ascii="Roboto" w:hAnsi="Roboto"/>
        </w:rPr>
        <w:t>i.e.</w:t>
      </w:r>
      <w:proofErr w:type="gramEnd"/>
      <w:r w:rsidRPr="00CE0FD2">
        <w:rPr>
          <w:rFonts w:ascii="Roboto" w:hAnsi="Roboto"/>
        </w:rPr>
        <w:t xml:space="preserve"> production volumes, energy use and hence cost per product, unique processes).  If ESOS reports provided cannot justify being redacted, then Government needs to propose how commercially sensitive information will be prevented from being made public by </w:t>
      </w:r>
      <w:proofErr w:type="gramStart"/>
      <w:r w:rsidRPr="00CE0FD2">
        <w:rPr>
          <w:rFonts w:ascii="Roboto" w:hAnsi="Roboto"/>
        </w:rPr>
        <w:t>either</w:t>
      </w:r>
      <w:proofErr w:type="gramEnd"/>
      <w:r w:rsidRPr="00CE0FD2">
        <w:rPr>
          <w:rFonts w:ascii="Roboto" w:hAnsi="Roboto"/>
        </w:rPr>
        <w:t xml:space="preserve"> them, the 3rd parties or the Administrator, and how any information used will only be used for the purpose stated and not for other reasons without seeking permission.</w:t>
      </w:r>
    </w:p>
    <w:p w14:paraId="36506EA3" w14:textId="32640C93" w:rsidR="00FD418F" w:rsidRDefault="00FD418F" w:rsidP="00AE7BEC">
      <w:pPr>
        <w:spacing w:line="276" w:lineRule="auto"/>
        <w:rPr>
          <w:rFonts w:ascii="Roboto" w:hAnsi="Roboto"/>
          <w:b/>
          <w:bCs/>
        </w:rPr>
      </w:pPr>
      <w:r>
        <w:rPr>
          <w:rFonts w:ascii="Roboto" w:hAnsi="Roboto"/>
          <w:b/>
          <w:bCs/>
        </w:rPr>
        <w:t>Q21</w:t>
      </w:r>
      <w:r w:rsidR="009C5394">
        <w:rPr>
          <w:rFonts w:ascii="Roboto" w:hAnsi="Roboto"/>
          <w:b/>
          <w:bCs/>
        </w:rPr>
        <w:t xml:space="preserve">. </w:t>
      </w:r>
      <w:r w:rsidR="009C5394" w:rsidRPr="009C5394">
        <w:rPr>
          <w:rFonts w:ascii="Roboto" w:hAnsi="Roboto"/>
          <w:b/>
          <w:bCs/>
        </w:rPr>
        <w:t>What else should be considered in setting targets for any potential future scheme?</w:t>
      </w:r>
    </w:p>
    <w:p w14:paraId="037D7D20" w14:textId="416819BE" w:rsidR="009C5394" w:rsidRPr="009C5394" w:rsidRDefault="009C5394" w:rsidP="0079076E">
      <w:pPr>
        <w:spacing w:line="276" w:lineRule="auto"/>
        <w:ind w:left="720"/>
        <w:rPr>
          <w:rFonts w:ascii="Roboto" w:hAnsi="Roboto"/>
        </w:rPr>
      </w:pPr>
      <w:r>
        <w:rPr>
          <w:rFonts w:ascii="Roboto" w:hAnsi="Roboto"/>
        </w:rPr>
        <w:t xml:space="preserve">See </w:t>
      </w:r>
      <w:r w:rsidR="00EB4737">
        <w:rPr>
          <w:rFonts w:ascii="Roboto" w:hAnsi="Roboto"/>
        </w:rPr>
        <w:t>answer to Q20.</w:t>
      </w:r>
    </w:p>
    <w:p w14:paraId="33165A37" w14:textId="4A7830F7" w:rsidR="00FD418F" w:rsidRDefault="00FD418F" w:rsidP="00AE7BEC">
      <w:pPr>
        <w:spacing w:line="276" w:lineRule="auto"/>
        <w:rPr>
          <w:rFonts w:ascii="Roboto" w:hAnsi="Roboto"/>
          <w:b/>
          <w:bCs/>
        </w:rPr>
      </w:pPr>
      <w:r>
        <w:rPr>
          <w:rFonts w:ascii="Roboto" w:hAnsi="Roboto"/>
          <w:b/>
          <w:bCs/>
        </w:rPr>
        <w:lastRenderedPageBreak/>
        <w:t>Q22.</w:t>
      </w:r>
      <w:r w:rsidR="00B21BFB">
        <w:rPr>
          <w:rFonts w:ascii="Roboto" w:hAnsi="Roboto"/>
          <w:b/>
          <w:bCs/>
        </w:rPr>
        <w:t xml:space="preserve"> </w:t>
      </w:r>
      <w:r w:rsidR="00B21BFB" w:rsidRPr="00B21BFB">
        <w:rPr>
          <w:rFonts w:ascii="Roboto" w:hAnsi="Roboto"/>
          <w:b/>
          <w:bCs/>
        </w:rPr>
        <w:t>Do you agree that targets should be primarily focused on the implementation of cost-effective energy efficiency improvements, and that the target setting exercise is the best way to determine where carbon targets would be more appropriate?</w:t>
      </w:r>
    </w:p>
    <w:p w14:paraId="7A45AF9D" w14:textId="77777777" w:rsidR="003F7B0E" w:rsidRPr="003F7B0E" w:rsidRDefault="003F7B0E" w:rsidP="0079076E">
      <w:pPr>
        <w:spacing w:line="276" w:lineRule="auto"/>
        <w:ind w:left="720"/>
        <w:rPr>
          <w:rFonts w:ascii="Roboto" w:hAnsi="Roboto"/>
        </w:rPr>
      </w:pPr>
      <w:r w:rsidRPr="003F7B0E">
        <w:rPr>
          <w:rFonts w:ascii="Roboto" w:hAnsi="Roboto"/>
        </w:rPr>
        <w:t xml:space="preserve">No. Given the focus companies give to decarbonisation and the use of </w:t>
      </w:r>
      <w:proofErr w:type="spellStart"/>
      <w:proofErr w:type="gramStart"/>
      <w:r w:rsidRPr="003F7B0E">
        <w:rPr>
          <w:rFonts w:ascii="Roboto" w:hAnsi="Roboto"/>
        </w:rPr>
        <w:t>on site</w:t>
      </w:r>
      <w:proofErr w:type="spellEnd"/>
      <w:proofErr w:type="gramEnd"/>
      <w:r w:rsidRPr="003F7B0E">
        <w:rPr>
          <w:rFonts w:ascii="Roboto" w:hAnsi="Roboto"/>
        </w:rPr>
        <w:t xml:space="preserve"> electricity generation the possibility of a carbon target would seem a sensible option.</w:t>
      </w:r>
    </w:p>
    <w:p w14:paraId="61459E7E" w14:textId="5E6F1148" w:rsidR="003F7B0E" w:rsidRPr="003F7B0E" w:rsidRDefault="003F7B0E" w:rsidP="0079076E">
      <w:pPr>
        <w:spacing w:line="276" w:lineRule="auto"/>
        <w:ind w:left="720"/>
        <w:rPr>
          <w:rFonts w:ascii="Roboto" w:hAnsi="Roboto"/>
        </w:rPr>
      </w:pPr>
      <w:r w:rsidRPr="003F7B0E">
        <w:rPr>
          <w:rFonts w:ascii="Roboto" w:hAnsi="Roboto"/>
        </w:rPr>
        <w:t>For much of the sector most efficiency savings have been completed, and the sector is entering a phase of diminishing returns when it comes to investment in energy reduction. Companies are now focussing on carbon reduction.</w:t>
      </w:r>
    </w:p>
    <w:p w14:paraId="02858BE8" w14:textId="0E6FC587" w:rsidR="00FD418F" w:rsidRDefault="00FD418F" w:rsidP="00AE7BEC">
      <w:pPr>
        <w:spacing w:line="276" w:lineRule="auto"/>
        <w:rPr>
          <w:rFonts w:ascii="Roboto" w:hAnsi="Roboto"/>
          <w:b/>
          <w:bCs/>
        </w:rPr>
      </w:pPr>
      <w:r>
        <w:rPr>
          <w:rFonts w:ascii="Roboto" w:hAnsi="Roboto"/>
          <w:b/>
          <w:bCs/>
        </w:rPr>
        <w:t>Q23.</w:t>
      </w:r>
      <w:r w:rsidR="007327C2">
        <w:rPr>
          <w:rFonts w:ascii="Roboto" w:hAnsi="Roboto"/>
          <w:b/>
          <w:bCs/>
        </w:rPr>
        <w:t xml:space="preserve"> </w:t>
      </w:r>
      <w:r w:rsidR="007327C2" w:rsidRPr="007327C2">
        <w:rPr>
          <w:rFonts w:ascii="Roboto" w:hAnsi="Roboto"/>
          <w:b/>
          <w:bCs/>
        </w:rPr>
        <w:t>Do you agree with moving to Facility level reporting and performance measurement?</w:t>
      </w:r>
    </w:p>
    <w:p w14:paraId="67347A79" w14:textId="77777777" w:rsidR="0079076E" w:rsidRDefault="007C5152" w:rsidP="0079076E">
      <w:pPr>
        <w:spacing w:line="276" w:lineRule="auto"/>
        <w:ind w:left="720"/>
        <w:rPr>
          <w:rFonts w:ascii="Roboto" w:hAnsi="Roboto"/>
        </w:rPr>
      </w:pPr>
      <w:r w:rsidRPr="007C5152">
        <w:rPr>
          <w:rFonts w:ascii="Roboto" w:hAnsi="Roboto"/>
        </w:rPr>
        <w:t xml:space="preserve">In principle targets at a facility level may provide additional granularity and responsibility. </w:t>
      </w:r>
    </w:p>
    <w:p w14:paraId="1D373ABB" w14:textId="7B2E154E" w:rsidR="007C5152" w:rsidRPr="007C5152" w:rsidRDefault="007C5152" w:rsidP="0079076E">
      <w:pPr>
        <w:spacing w:line="276" w:lineRule="auto"/>
        <w:ind w:left="720"/>
        <w:rPr>
          <w:rFonts w:ascii="Roboto" w:hAnsi="Roboto"/>
        </w:rPr>
      </w:pPr>
      <w:proofErr w:type="gramStart"/>
      <w:r w:rsidRPr="007C5152">
        <w:rPr>
          <w:rFonts w:ascii="Roboto" w:hAnsi="Roboto"/>
        </w:rPr>
        <w:t>A number of</w:t>
      </w:r>
      <w:proofErr w:type="gramEnd"/>
      <w:r w:rsidRPr="007C5152">
        <w:rPr>
          <w:rFonts w:ascii="Roboto" w:hAnsi="Roboto"/>
        </w:rPr>
        <w:t xml:space="preserve"> the participants in the sector take a wholistic approach to efficiency and carbon savings across their portfolio, so individual targets are fine, as long as there is some way to trade or move carbon within the legal entity, to bring it in line with the </w:t>
      </w:r>
      <w:r w:rsidR="00303A40" w:rsidRPr="007C5152">
        <w:rPr>
          <w:rFonts w:ascii="Roboto" w:hAnsi="Roboto"/>
        </w:rPr>
        <w:t>companies’</w:t>
      </w:r>
      <w:r w:rsidRPr="007C5152">
        <w:rPr>
          <w:rFonts w:ascii="Roboto" w:hAnsi="Roboto"/>
        </w:rPr>
        <w:t xml:space="preserve"> approach of managing their sites as an </w:t>
      </w:r>
      <w:r w:rsidR="0079076E" w:rsidRPr="007C5152">
        <w:rPr>
          <w:rFonts w:ascii="Roboto" w:hAnsi="Roboto"/>
        </w:rPr>
        <w:t>inter</w:t>
      </w:r>
      <w:r w:rsidR="0079076E">
        <w:rPr>
          <w:rFonts w:ascii="Roboto" w:hAnsi="Roboto"/>
        </w:rPr>
        <w:t>-</w:t>
      </w:r>
      <w:r w:rsidR="0079076E" w:rsidRPr="007C5152">
        <w:rPr>
          <w:rFonts w:ascii="Roboto" w:hAnsi="Roboto"/>
        </w:rPr>
        <w:t>linked</w:t>
      </w:r>
      <w:r w:rsidRPr="007C5152">
        <w:rPr>
          <w:rFonts w:ascii="Roboto" w:hAnsi="Roboto"/>
        </w:rPr>
        <w:t xml:space="preserve"> group.</w:t>
      </w:r>
    </w:p>
    <w:p w14:paraId="0C6BBB7B" w14:textId="41638BD9" w:rsidR="00FD418F" w:rsidRDefault="00FD418F" w:rsidP="00AE7BEC">
      <w:pPr>
        <w:spacing w:line="276" w:lineRule="auto"/>
        <w:rPr>
          <w:rFonts w:ascii="Roboto" w:hAnsi="Roboto"/>
          <w:b/>
          <w:bCs/>
        </w:rPr>
      </w:pPr>
      <w:r>
        <w:rPr>
          <w:rFonts w:ascii="Roboto" w:hAnsi="Roboto"/>
          <w:b/>
          <w:bCs/>
        </w:rPr>
        <w:t>Q24.</w:t>
      </w:r>
      <w:r w:rsidR="00C5226A">
        <w:rPr>
          <w:rFonts w:ascii="Roboto" w:hAnsi="Roboto"/>
          <w:b/>
          <w:bCs/>
        </w:rPr>
        <w:t xml:space="preserve"> </w:t>
      </w:r>
      <w:r w:rsidR="00C5226A" w:rsidRPr="00C5226A">
        <w:rPr>
          <w:rFonts w:ascii="Roboto" w:hAnsi="Roboto"/>
          <w:b/>
          <w:bCs/>
        </w:rPr>
        <w:t>What do you think the impact of this change would be for your sector?</w:t>
      </w:r>
    </w:p>
    <w:p w14:paraId="5E69B4F3" w14:textId="77777777" w:rsidR="0079076E" w:rsidRDefault="006179D2" w:rsidP="0079076E">
      <w:pPr>
        <w:spacing w:line="276" w:lineRule="auto"/>
        <w:ind w:left="720"/>
        <w:rPr>
          <w:rFonts w:ascii="Roboto" w:hAnsi="Roboto"/>
        </w:rPr>
      </w:pPr>
      <w:r w:rsidRPr="006179D2">
        <w:rPr>
          <w:rFonts w:ascii="Roboto" w:hAnsi="Roboto"/>
        </w:rPr>
        <w:t>To prevent this from being a ‘big deal’ the CO2 result against the target (</w:t>
      </w:r>
      <w:proofErr w:type="gramStart"/>
      <w:r w:rsidRPr="006179D2">
        <w:rPr>
          <w:rFonts w:ascii="Roboto" w:hAnsi="Roboto"/>
        </w:rPr>
        <w:t>i.e.</w:t>
      </w:r>
      <w:proofErr w:type="gramEnd"/>
      <w:r w:rsidRPr="006179D2">
        <w:rPr>
          <w:rFonts w:ascii="Roboto" w:hAnsi="Roboto"/>
        </w:rPr>
        <w:t xml:space="preserve"> generated from over or under performance) from the different sites belonging to a legal entity should be tradable without further action necessary (i.e. verification of data like in the first CCA scheme).  </w:t>
      </w:r>
    </w:p>
    <w:p w14:paraId="01B8FBDD" w14:textId="634B64DF" w:rsidR="006179D2" w:rsidRDefault="006179D2" w:rsidP="0079076E">
      <w:pPr>
        <w:spacing w:line="276" w:lineRule="auto"/>
        <w:ind w:left="720"/>
        <w:rPr>
          <w:rFonts w:ascii="Roboto" w:hAnsi="Roboto"/>
        </w:rPr>
      </w:pPr>
      <w:r w:rsidRPr="006179D2">
        <w:rPr>
          <w:rFonts w:ascii="Roboto" w:hAnsi="Roboto"/>
        </w:rPr>
        <w:t xml:space="preserve">The net CO2 position should be recorded at the legal entity level and if the net position is a buy-out, then one buy-out invoice should be raised to prevent administrative complexities.  </w:t>
      </w:r>
    </w:p>
    <w:p w14:paraId="675C9678" w14:textId="5E13CB83" w:rsidR="006670A1" w:rsidRDefault="006670A1" w:rsidP="00AE7BEC">
      <w:pPr>
        <w:spacing w:line="276" w:lineRule="auto"/>
        <w:rPr>
          <w:rFonts w:ascii="Roboto" w:hAnsi="Roboto"/>
          <w:b/>
          <w:bCs/>
        </w:rPr>
      </w:pPr>
      <w:r>
        <w:rPr>
          <w:rFonts w:ascii="Roboto" w:hAnsi="Roboto"/>
          <w:b/>
          <w:bCs/>
        </w:rPr>
        <w:t>Q25.</w:t>
      </w:r>
      <w:r w:rsidR="00C53B6F">
        <w:rPr>
          <w:rFonts w:ascii="Roboto" w:hAnsi="Roboto"/>
          <w:b/>
          <w:bCs/>
        </w:rPr>
        <w:t xml:space="preserve"> </w:t>
      </w:r>
      <w:r w:rsidR="00C53B6F" w:rsidRPr="00C53B6F">
        <w:rPr>
          <w:rFonts w:ascii="Roboto" w:hAnsi="Roboto"/>
          <w:b/>
          <w:bCs/>
        </w:rPr>
        <w:t>Do you agree with the proposal to reform reporting as described above?</w:t>
      </w:r>
    </w:p>
    <w:p w14:paraId="42619F09" w14:textId="3B958E42" w:rsidR="0079076E" w:rsidRDefault="00244156" w:rsidP="0079076E">
      <w:pPr>
        <w:spacing w:line="276" w:lineRule="auto"/>
        <w:ind w:left="720"/>
        <w:rPr>
          <w:rFonts w:ascii="Roboto" w:hAnsi="Roboto"/>
        </w:rPr>
      </w:pPr>
      <w:r w:rsidRPr="00244156">
        <w:rPr>
          <w:rFonts w:ascii="Roboto" w:hAnsi="Roboto"/>
        </w:rPr>
        <w:t xml:space="preserve">We know that analysing energy use and developing a robust statistical link to IT energy is challenging.  The proposals are totally over the top and will only work for sites with lots of energy and production data.  It will not work for sites with little data. The proposal will be costly and </w:t>
      </w:r>
      <w:r w:rsidR="00303A40" w:rsidRPr="00244156">
        <w:rPr>
          <w:rFonts w:ascii="Roboto" w:hAnsi="Roboto"/>
        </w:rPr>
        <w:t>complicated,</w:t>
      </w:r>
      <w:r w:rsidRPr="00244156">
        <w:rPr>
          <w:rFonts w:ascii="Roboto" w:hAnsi="Roboto"/>
        </w:rPr>
        <w:t xml:space="preserve"> and the analysis will need repeating when significant changes are made (</w:t>
      </w:r>
      <w:proofErr w:type="gramStart"/>
      <w:r w:rsidRPr="00244156">
        <w:rPr>
          <w:rFonts w:ascii="Roboto" w:hAnsi="Roboto"/>
        </w:rPr>
        <w:t>i.e.</w:t>
      </w:r>
      <w:proofErr w:type="gramEnd"/>
      <w:r w:rsidRPr="00244156">
        <w:rPr>
          <w:rFonts w:ascii="Roboto" w:hAnsi="Roboto"/>
        </w:rPr>
        <w:t xml:space="preserve"> major new IT equipment is introduced).</w:t>
      </w:r>
    </w:p>
    <w:p w14:paraId="2295E972" w14:textId="361F03E5" w:rsidR="00244156" w:rsidRPr="00244156" w:rsidRDefault="00244156" w:rsidP="0079076E">
      <w:pPr>
        <w:spacing w:line="276" w:lineRule="auto"/>
        <w:ind w:left="720"/>
        <w:rPr>
          <w:rFonts w:ascii="Roboto" w:hAnsi="Roboto"/>
        </w:rPr>
      </w:pPr>
      <w:r w:rsidRPr="00244156">
        <w:rPr>
          <w:rFonts w:ascii="Roboto" w:hAnsi="Roboto"/>
        </w:rPr>
        <w:t>For many colocation operations the IT equipment is customer owned and installed, the datacentre operator has no control over choice of equipment or changes. This should not be mandated.</w:t>
      </w:r>
    </w:p>
    <w:p w14:paraId="46E9DEB1" w14:textId="4D095105" w:rsidR="006670A1" w:rsidRDefault="006670A1" w:rsidP="00AE7BEC">
      <w:pPr>
        <w:spacing w:line="276" w:lineRule="auto"/>
        <w:rPr>
          <w:rFonts w:ascii="Roboto" w:hAnsi="Roboto"/>
          <w:b/>
          <w:bCs/>
        </w:rPr>
      </w:pPr>
      <w:r>
        <w:rPr>
          <w:rFonts w:ascii="Roboto" w:hAnsi="Roboto"/>
          <w:b/>
          <w:bCs/>
        </w:rPr>
        <w:t>Q26.</w:t>
      </w:r>
      <w:r w:rsidR="008571E0">
        <w:rPr>
          <w:rFonts w:ascii="Roboto" w:hAnsi="Roboto"/>
          <w:b/>
          <w:bCs/>
        </w:rPr>
        <w:t xml:space="preserve"> </w:t>
      </w:r>
      <w:r w:rsidR="008571E0" w:rsidRPr="008571E0">
        <w:rPr>
          <w:rFonts w:ascii="Roboto" w:hAnsi="Roboto"/>
          <w:b/>
          <w:bCs/>
        </w:rPr>
        <w:t>What would the impact of this change of reporting be for you and/or your sector (</w:t>
      </w:r>
      <w:proofErr w:type="gramStart"/>
      <w:r w:rsidR="008571E0" w:rsidRPr="008571E0">
        <w:rPr>
          <w:rFonts w:ascii="Roboto" w:hAnsi="Roboto"/>
          <w:b/>
          <w:bCs/>
        </w:rPr>
        <w:t>e.g.</w:t>
      </w:r>
      <w:proofErr w:type="gramEnd"/>
      <w:r w:rsidR="008571E0" w:rsidRPr="008571E0">
        <w:rPr>
          <w:rFonts w:ascii="Roboto" w:hAnsi="Roboto"/>
          <w:b/>
          <w:bCs/>
        </w:rPr>
        <w:t xml:space="preserve"> estimated operational/logistical costs or overarching impacts)?</w:t>
      </w:r>
    </w:p>
    <w:p w14:paraId="08864D3F" w14:textId="306B875F" w:rsidR="00823F1E" w:rsidRPr="00823F1E" w:rsidRDefault="00823F1E" w:rsidP="0079076E">
      <w:pPr>
        <w:spacing w:line="276" w:lineRule="auto"/>
        <w:ind w:left="720"/>
        <w:rPr>
          <w:rFonts w:ascii="Roboto" w:hAnsi="Roboto"/>
        </w:rPr>
      </w:pPr>
      <w:r w:rsidRPr="00823F1E">
        <w:rPr>
          <w:rFonts w:ascii="Roboto" w:hAnsi="Roboto"/>
        </w:rPr>
        <w:t>The proposal is completely disproportionate for smaller sites.  This would add significant cost and complexity to scheme administration.</w:t>
      </w:r>
    </w:p>
    <w:p w14:paraId="70D36669" w14:textId="21DF51BE" w:rsidR="006670A1" w:rsidRDefault="006670A1" w:rsidP="00AE7BEC">
      <w:pPr>
        <w:spacing w:line="276" w:lineRule="auto"/>
        <w:rPr>
          <w:rFonts w:ascii="Roboto" w:hAnsi="Roboto"/>
          <w:b/>
          <w:bCs/>
        </w:rPr>
      </w:pPr>
      <w:r>
        <w:rPr>
          <w:rFonts w:ascii="Roboto" w:hAnsi="Roboto"/>
          <w:b/>
          <w:bCs/>
        </w:rPr>
        <w:t>Q27.</w:t>
      </w:r>
      <w:r w:rsidR="001B57F3">
        <w:rPr>
          <w:rFonts w:ascii="Roboto" w:hAnsi="Roboto"/>
          <w:b/>
          <w:bCs/>
        </w:rPr>
        <w:t xml:space="preserve"> </w:t>
      </w:r>
      <w:r w:rsidR="001B57F3" w:rsidRPr="001B57F3">
        <w:rPr>
          <w:rFonts w:ascii="Roboto" w:hAnsi="Roboto"/>
          <w:b/>
          <w:bCs/>
        </w:rPr>
        <w:t>Do you agree that carbon emissions factors should be updated to the currently available factors for each TP?</w:t>
      </w:r>
    </w:p>
    <w:p w14:paraId="00442130" w14:textId="214A73B7" w:rsidR="001B57F3" w:rsidRPr="00690F6B" w:rsidRDefault="00690F6B" w:rsidP="0079076E">
      <w:pPr>
        <w:spacing w:line="276" w:lineRule="auto"/>
        <w:ind w:left="720"/>
        <w:rPr>
          <w:rFonts w:ascii="Roboto" w:hAnsi="Roboto"/>
        </w:rPr>
      </w:pPr>
      <w:r w:rsidRPr="00690F6B">
        <w:rPr>
          <w:rFonts w:ascii="Roboto" w:hAnsi="Roboto"/>
        </w:rPr>
        <w:t>Yes</w:t>
      </w:r>
      <w:r>
        <w:rPr>
          <w:rFonts w:ascii="Roboto" w:hAnsi="Roboto"/>
        </w:rPr>
        <w:t>,</w:t>
      </w:r>
      <w:r w:rsidRPr="00690F6B">
        <w:rPr>
          <w:rFonts w:ascii="Roboto" w:hAnsi="Roboto"/>
        </w:rPr>
        <w:t xml:space="preserve"> this is sensible</w:t>
      </w:r>
      <w:r w:rsidR="00FB79BA">
        <w:rPr>
          <w:rFonts w:ascii="Roboto" w:hAnsi="Roboto"/>
        </w:rPr>
        <w:t>.</w:t>
      </w:r>
    </w:p>
    <w:p w14:paraId="36FCBD24" w14:textId="6DA2F709" w:rsidR="006670A1" w:rsidRDefault="006670A1" w:rsidP="00AE7BEC">
      <w:pPr>
        <w:spacing w:line="276" w:lineRule="auto"/>
        <w:rPr>
          <w:rFonts w:ascii="Roboto" w:hAnsi="Roboto"/>
          <w:b/>
          <w:bCs/>
        </w:rPr>
      </w:pPr>
      <w:r>
        <w:rPr>
          <w:rFonts w:ascii="Roboto" w:hAnsi="Roboto"/>
          <w:b/>
          <w:bCs/>
        </w:rPr>
        <w:lastRenderedPageBreak/>
        <w:t>Q28.</w:t>
      </w:r>
      <w:r w:rsidR="00BB0915">
        <w:rPr>
          <w:rFonts w:ascii="Roboto" w:hAnsi="Roboto"/>
          <w:b/>
          <w:bCs/>
        </w:rPr>
        <w:t xml:space="preserve"> </w:t>
      </w:r>
      <w:r w:rsidR="00BB0915" w:rsidRPr="00BB0915">
        <w:rPr>
          <w:rFonts w:ascii="Roboto" w:hAnsi="Roboto"/>
          <w:b/>
          <w:bCs/>
        </w:rPr>
        <w:t>Do you agree that the primary electricity factor for electricity should be updated for a new scheme?</w:t>
      </w:r>
    </w:p>
    <w:p w14:paraId="042DE0D1" w14:textId="257D1267" w:rsidR="00AC6DFA" w:rsidRPr="00AC6DFA" w:rsidRDefault="00AC6DFA" w:rsidP="00FB79BA">
      <w:pPr>
        <w:spacing w:line="276" w:lineRule="auto"/>
        <w:ind w:left="720"/>
        <w:rPr>
          <w:rFonts w:ascii="Roboto" w:hAnsi="Roboto"/>
        </w:rPr>
      </w:pPr>
      <w:r>
        <w:rPr>
          <w:rFonts w:ascii="Roboto" w:hAnsi="Roboto"/>
        </w:rPr>
        <w:t>Yes.</w:t>
      </w:r>
    </w:p>
    <w:p w14:paraId="116B432A" w14:textId="077D544A" w:rsidR="006670A1" w:rsidRDefault="006670A1" w:rsidP="00AE7BEC">
      <w:pPr>
        <w:spacing w:line="276" w:lineRule="auto"/>
        <w:rPr>
          <w:rFonts w:ascii="Roboto" w:hAnsi="Roboto"/>
          <w:b/>
          <w:bCs/>
        </w:rPr>
      </w:pPr>
      <w:r>
        <w:rPr>
          <w:rFonts w:ascii="Roboto" w:hAnsi="Roboto"/>
          <w:b/>
          <w:bCs/>
        </w:rPr>
        <w:t>Q29.</w:t>
      </w:r>
      <w:r w:rsidR="00A417B4">
        <w:rPr>
          <w:rFonts w:ascii="Roboto" w:hAnsi="Roboto"/>
          <w:b/>
          <w:bCs/>
        </w:rPr>
        <w:t xml:space="preserve"> </w:t>
      </w:r>
      <w:r w:rsidR="00A417B4" w:rsidRPr="00A417B4">
        <w:rPr>
          <w:rFonts w:ascii="Roboto" w:hAnsi="Roboto"/>
          <w:b/>
          <w:bCs/>
        </w:rPr>
        <w:t>Do you agree that self-generated electricity should be accounted for as set out above?</w:t>
      </w:r>
    </w:p>
    <w:p w14:paraId="6A392A9D" w14:textId="77777777" w:rsidR="00FB79BA" w:rsidRDefault="00D53C53" w:rsidP="00FB79BA">
      <w:pPr>
        <w:spacing w:line="276" w:lineRule="auto"/>
        <w:ind w:left="720"/>
        <w:rPr>
          <w:rFonts w:ascii="Roboto" w:hAnsi="Roboto"/>
        </w:rPr>
      </w:pPr>
      <w:r w:rsidRPr="00D53C53">
        <w:rPr>
          <w:rFonts w:ascii="Roboto" w:hAnsi="Roboto"/>
        </w:rPr>
        <w:t>Do you agree that self-generated electricity should be accounted for as set out above?</w:t>
      </w:r>
    </w:p>
    <w:p w14:paraId="1F123934" w14:textId="46B8B3C3" w:rsidR="00D53C53" w:rsidRPr="00D53C53" w:rsidRDefault="00D53C53" w:rsidP="00FB79BA">
      <w:pPr>
        <w:spacing w:line="276" w:lineRule="auto"/>
        <w:ind w:left="720"/>
        <w:rPr>
          <w:rFonts w:ascii="Roboto" w:hAnsi="Roboto"/>
        </w:rPr>
      </w:pPr>
      <w:r w:rsidRPr="00D53C53">
        <w:rPr>
          <w:rFonts w:ascii="Roboto" w:hAnsi="Roboto"/>
        </w:rPr>
        <w:t xml:space="preserve">Yes. There needs to be greater allowance and benefit for </w:t>
      </w:r>
      <w:r w:rsidR="00FB79BA" w:rsidRPr="00D53C53">
        <w:rPr>
          <w:rFonts w:ascii="Roboto" w:hAnsi="Roboto"/>
        </w:rPr>
        <w:t>on-site</w:t>
      </w:r>
      <w:r w:rsidRPr="00D53C53">
        <w:rPr>
          <w:rFonts w:ascii="Roboto" w:hAnsi="Roboto"/>
        </w:rPr>
        <w:t xml:space="preserve"> electricity generation. This is an important aspect of any company or national decarbonisation plan, so the current lack of acknowledgement within CCA's should be removed.</w:t>
      </w:r>
    </w:p>
    <w:p w14:paraId="4DC4A458" w14:textId="7ABD730D" w:rsidR="006670A1" w:rsidRDefault="006670A1" w:rsidP="00AE7BEC">
      <w:pPr>
        <w:spacing w:line="276" w:lineRule="auto"/>
        <w:rPr>
          <w:rFonts w:ascii="Roboto" w:hAnsi="Roboto"/>
          <w:b/>
          <w:bCs/>
        </w:rPr>
      </w:pPr>
      <w:r>
        <w:rPr>
          <w:rFonts w:ascii="Roboto" w:hAnsi="Roboto"/>
          <w:b/>
          <w:bCs/>
        </w:rPr>
        <w:t>Q30.</w:t>
      </w:r>
      <w:r w:rsidR="00CA18D6">
        <w:rPr>
          <w:rFonts w:ascii="Roboto" w:hAnsi="Roboto"/>
          <w:b/>
          <w:bCs/>
        </w:rPr>
        <w:t xml:space="preserve"> </w:t>
      </w:r>
      <w:r w:rsidR="00CA18D6" w:rsidRPr="00CA18D6">
        <w:rPr>
          <w:rFonts w:ascii="Roboto" w:hAnsi="Roboto"/>
          <w:b/>
          <w:bCs/>
        </w:rPr>
        <w:t>Do you agree with the proposal to bring UK ETS energy into the target energy for any new scheme?</w:t>
      </w:r>
    </w:p>
    <w:p w14:paraId="2AFBBAB8" w14:textId="51A82CDD" w:rsidR="00FB79BA" w:rsidRDefault="00D825D4" w:rsidP="00FB79BA">
      <w:pPr>
        <w:spacing w:line="276" w:lineRule="auto"/>
        <w:ind w:left="720"/>
        <w:rPr>
          <w:rFonts w:ascii="Roboto" w:hAnsi="Roboto"/>
        </w:rPr>
      </w:pPr>
      <w:r w:rsidRPr="00D825D4">
        <w:rPr>
          <w:rFonts w:ascii="Roboto" w:hAnsi="Roboto"/>
        </w:rPr>
        <w:t xml:space="preserve">Only </w:t>
      </w:r>
      <w:r w:rsidR="00FB79BA" w:rsidRPr="00D825D4">
        <w:rPr>
          <w:rFonts w:ascii="Roboto" w:hAnsi="Roboto"/>
        </w:rPr>
        <w:t>back-up</w:t>
      </w:r>
      <w:r w:rsidRPr="00D825D4">
        <w:rPr>
          <w:rFonts w:ascii="Roboto" w:hAnsi="Roboto"/>
        </w:rPr>
        <w:t xml:space="preserve"> generator fuel and tiny bits of office heating fall under UK ETS for the data centre sector.  </w:t>
      </w:r>
    </w:p>
    <w:p w14:paraId="626B6CEE" w14:textId="36D52BBD" w:rsidR="00D825D4" w:rsidRPr="00D825D4" w:rsidRDefault="00D825D4" w:rsidP="00FB79BA">
      <w:pPr>
        <w:spacing w:line="276" w:lineRule="auto"/>
        <w:ind w:left="720"/>
        <w:rPr>
          <w:rFonts w:ascii="Roboto" w:hAnsi="Roboto"/>
        </w:rPr>
      </w:pPr>
      <w:r w:rsidRPr="00D825D4">
        <w:rPr>
          <w:rFonts w:ascii="Roboto" w:hAnsi="Roboto"/>
        </w:rPr>
        <w:t>Most sites have opted out of the UK ETS.  Whilst the overlap in emissions in not huge, we would appreciate only reporting emissions in one scheme not two to reduce the compliance costs and administrative frustration.</w:t>
      </w:r>
    </w:p>
    <w:p w14:paraId="5D9F2126" w14:textId="3EC81D2C" w:rsidR="006670A1" w:rsidRDefault="006670A1" w:rsidP="00AE7BEC">
      <w:pPr>
        <w:spacing w:line="276" w:lineRule="auto"/>
        <w:rPr>
          <w:rFonts w:ascii="Roboto" w:hAnsi="Roboto"/>
          <w:b/>
          <w:bCs/>
        </w:rPr>
      </w:pPr>
      <w:r>
        <w:rPr>
          <w:rFonts w:ascii="Roboto" w:hAnsi="Roboto"/>
          <w:b/>
          <w:bCs/>
        </w:rPr>
        <w:t>Q31.</w:t>
      </w:r>
      <w:r w:rsidR="00BF1AB6">
        <w:rPr>
          <w:rFonts w:ascii="Roboto" w:hAnsi="Roboto"/>
          <w:b/>
          <w:bCs/>
        </w:rPr>
        <w:t xml:space="preserve"> </w:t>
      </w:r>
      <w:r w:rsidR="00BF1AB6" w:rsidRPr="00BF1AB6">
        <w:rPr>
          <w:rFonts w:ascii="Roboto" w:hAnsi="Roboto"/>
          <w:b/>
          <w:bCs/>
        </w:rPr>
        <w:t>Do you have any further views on adding annual reporting beyond those provided in the last consultation under any potential future scheme?</w:t>
      </w:r>
    </w:p>
    <w:p w14:paraId="002B3B16" w14:textId="786CAEEF" w:rsidR="00BF1AB6" w:rsidRPr="00BF1AB6" w:rsidRDefault="00BF1AB6" w:rsidP="00FB79BA">
      <w:pPr>
        <w:spacing w:line="276" w:lineRule="auto"/>
        <w:ind w:left="720"/>
        <w:rPr>
          <w:rFonts w:ascii="Roboto" w:hAnsi="Roboto"/>
        </w:rPr>
      </w:pPr>
      <w:r>
        <w:rPr>
          <w:rFonts w:ascii="Roboto" w:hAnsi="Roboto"/>
        </w:rPr>
        <w:t>No comment.</w:t>
      </w:r>
    </w:p>
    <w:p w14:paraId="4321FE6E" w14:textId="2090E57B" w:rsidR="006670A1" w:rsidRDefault="006670A1" w:rsidP="00AE7BEC">
      <w:pPr>
        <w:spacing w:line="276" w:lineRule="auto"/>
        <w:rPr>
          <w:rFonts w:ascii="Roboto" w:hAnsi="Roboto"/>
          <w:b/>
          <w:bCs/>
        </w:rPr>
      </w:pPr>
      <w:r>
        <w:rPr>
          <w:rFonts w:ascii="Roboto" w:hAnsi="Roboto"/>
          <w:b/>
          <w:bCs/>
        </w:rPr>
        <w:t>Q32.</w:t>
      </w:r>
      <w:r w:rsidR="00C32E84">
        <w:rPr>
          <w:rFonts w:ascii="Roboto" w:hAnsi="Roboto"/>
          <w:b/>
          <w:bCs/>
        </w:rPr>
        <w:t xml:space="preserve"> </w:t>
      </w:r>
      <w:r w:rsidR="00C32E84" w:rsidRPr="00C32E84">
        <w:rPr>
          <w:rFonts w:ascii="Roboto" w:hAnsi="Roboto"/>
          <w:b/>
          <w:bCs/>
        </w:rPr>
        <w:t>Do you agree with maintaining the calculation for buy-out in carbon rather than energy?</w:t>
      </w:r>
    </w:p>
    <w:p w14:paraId="7B113344" w14:textId="75D1E853" w:rsidR="00AB020B" w:rsidRPr="00AB020B" w:rsidRDefault="00AB020B" w:rsidP="00FB79BA">
      <w:pPr>
        <w:spacing w:line="276" w:lineRule="auto"/>
        <w:ind w:left="720"/>
        <w:rPr>
          <w:rFonts w:ascii="Roboto" w:hAnsi="Roboto"/>
        </w:rPr>
      </w:pPr>
      <w:r w:rsidRPr="00AB020B">
        <w:rPr>
          <w:rFonts w:ascii="Roboto" w:hAnsi="Roboto"/>
        </w:rPr>
        <w:t>Yes</w:t>
      </w:r>
      <w:r>
        <w:rPr>
          <w:rFonts w:ascii="Roboto" w:hAnsi="Roboto"/>
        </w:rPr>
        <w:t>,</w:t>
      </w:r>
      <w:r w:rsidRPr="00AB020B">
        <w:rPr>
          <w:rFonts w:ascii="Roboto" w:hAnsi="Roboto"/>
        </w:rPr>
        <w:t xml:space="preserve"> but we need visibility of costs and methodology in advance so budgets can be assigned for any buy-out costs.</w:t>
      </w:r>
    </w:p>
    <w:p w14:paraId="350C0EC8" w14:textId="53652F7C" w:rsidR="006670A1" w:rsidRDefault="006670A1" w:rsidP="00AE7BEC">
      <w:pPr>
        <w:spacing w:line="276" w:lineRule="auto"/>
        <w:rPr>
          <w:rFonts w:ascii="Roboto" w:hAnsi="Roboto"/>
          <w:b/>
          <w:bCs/>
        </w:rPr>
      </w:pPr>
      <w:r>
        <w:rPr>
          <w:rFonts w:ascii="Roboto" w:hAnsi="Roboto"/>
          <w:b/>
          <w:bCs/>
        </w:rPr>
        <w:t>Q33.</w:t>
      </w:r>
      <w:r w:rsidR="00324439">
        <w:rPr>
          <w:rFonts w:ascii="Roboto" w:hAnsi="Roboto"/>
          <w:b/>
          <w:bCs/>
        </w:rPr>
        <w:t xml:space="preserve"> </w:t>
      </w:r>
      <w:r w:rsidR="00324439" w:rsidRPr="00324439">
        <w:rPr>
          <w:rFonts w:ascii="Roboto" w:hAnsi="Roboto"/>
          <w:b/>
          <w:bCs/>
        </w:rPr>
        <w:t>What are your views on how buy-out could be calculated for a future scheme?</w:t>
      </w:r>
    </w:p>
    <w:p w14:paraId="5FCAAADC" w14:textId="3BCE07AE" w:rsidR="00324439" w:rsidRPr="00324439" w:rsidRDefault="00836413" w:rsidP="00FB79BA">
      <w:pPr>
        <w:spacing w:line="276" w:lineRule="auto"/>
        <w:ind w:left="720"/>
        <w:rPr>
          <w:rFonts w:ascii="Roboto" w:hAnsi="Roboto"/>
        </w:rPr>
      </w:pPr>
      <w:r w:rsidRPr="00836413">
        <w:rPr>
          <w:rFonts w:ascii="Roboto" w:hAnsi="Roboto"/>
        </w:rPr>
        <w:t>However</w:t>
      </w:r>
      <w:r w:rsidR="00FB79BA">
        <w:rPr>
          <w:rFonts w:ascii="Roboto" w:hAnsi="Roboto"/>
        </w:rPr>
        <w:t>,</w:t>
      </w:r>
      <w:r w:rsidRPr="00836413">
        <w:rPr>
          <w:rFonts w:ascii="Roboto" w:hAnsi="Roboto"/>
        </w:rPr>
        <w:t xml:space="preserve"> it is calculated government needs to make sure price is known well in advance to help budgeting.</w:t>
      </w:r>
    </w:p>
    <w:p w14:paraId="3E0B8EC4" w14:textId="3DC5EE88" w:rsidR="006670A1" w:rsidRDefault="006670A1" w:rsidP="00AE7BEC">
      <w:pPr>
        <w:spacing w:line="276" w:lineRule="auto"/>
        <w:rPr>
          <w:rFonts w:ascii="Roboto" w:hAnsi="Roboto"/>
          <w:b/>
          <w:bCs/>
        </w:rPr>
      </w:pPr>
      <w:r>
        <w:rPr>
          <w:rFonts w:ascii="Roboto" w:hAnsi="Roboto"/>
          <w:b/>
          <w:bCs/>
        </w:rPr>
        <w:t>Q34.</w:t>
      </w:r>
      <w:r w:rsidR="00924B5F">
        <w:rPr>
          <w:rFonts w:ascii="Roboto" w:hAnsi="Roboto"/>
          <w:b/>
          <w:bCs/>
        </w:rPr>
        <w:t xml:space="preserve"> </w:t>
      </w:r>
      <w:r w:rsidR="00924B5F" w:rsidRPr="00924B5F">
        <w:rPr>
          <w:rFonts w:ascii="Roboto" w:hAnsi="Roboto"/>
          <w:b/>
          <w:bCs/>
        </w:rPr>
        <w:t>Would you agree or disagree with this utilising a formula rather than a fixed value set out in legislation?</w:t>
      </w:r>
    </w:p>
    <w:p w14:paraId="4B8941B2" w14:textId="6A097F8A" w:rsidR="00233B9C" w:rsidRPr="00233B9C" w:rsidRDefault="00233B9C" w:rsidP="00FB79BA">
      <w:pPr>
        <w:spacing w:line="276" w:lineRule="auto"/>
        <w:ind w:left="720"/>
        <w:rPr>
          <w:rFonts w:ascii="Roboto" w:hAnsi="Roboto"/>
        </w:rPr>
      </w:pPr>
      <w:r w:rsidRPr="00233B9C">
        <w:rPr>
          <w:rFonts w:ascii="Roboto" w:hAnsi="Roboto"/>
        </w:rPr>
        <w:t>However</w:t>
      </w:r>
      <w:r w:rsidR="00FB79BA">
        <w:rPr>
          <w:rFonts w:ascii="Roboto" w:hAnsi="Roboto"/>
        </w:rPr>
        <w:t>,</w:t>
      </w:r>
      <w:r w:rsidRPr="00233B9C">
        <w:rPr>
          <w:rFonts w:ascii="Roboto" w:hAnsi="Roboto"/>
        </w:rPr>
        <w:t xml:space="preserve"> it is calculated government needs to make sure price is known well in advance to help budgeting.</w:t>
      </w:r>
    </w:p>
    <w:p w14:paraId="6C56E812" w14:textId="3E34FF6A" w:rsidR="006670A1" w:rsidRDefault="006670A1" w:rsidP="00AE7BEC">
      <w:pPr>
        <w:spacing w:line="276" w:lineRule="auto"/>
        <w:rPr>
          <w:rFonts w:ascii="Roboto" w:hAnsi="Roboto"/>
          <w:b/>
          <w:bCs/>
        </w:rPr>
      </w:pPr>
      <w:r>
        <w:rPr>
          <w:rFonts w:ascii="Roboto" w:hAnsi="Roboto"/>
          <w:b/>
          <w:bCs/>
        </w:rPr>
        <w:t>Q35.</w:t>
      </w:r>
      <w:r w:rsidR="003F3F9C">
        <w:rPr>
          <w:rFonts w:ascii="Roboto" w:hAnsi="Roboto"/>
          <w:b/>
          <w:bCs/>
        </w:rPr>
        <w:t xml:space="preserve"> </w:t>
      </w:r>
      <w:r w:rsidR="003F3F9C" w:rsidRPr="003F3F9C">
        <w:rPr>
          <w:rFonts w:ascii="Roboto" w:hAnsi="Roboto"/>
          <w:b/>
          <w:bCs/>
        </w:rPr>
        <w:t>With consideration for the reforms outlined elsewhere in this consultation, do you have any comments on how surplus should operate for any potential future scheme?</w:t>
      </w:r>
    </w:p>
    <w:p w14:paraId="16DD02A5" w14:textId="7B19C525" w:rsidR="00DF1621" w:rsidRPr="00DF1621" w:rsidRDefault="00DF1621" w:rsidP="00FB79BA">
      <w:pPr>
        <w:spacing w:line="276" w:lineRule="auto"/>
        <w:ind w:left="720"/>
        <w:rPr>
          <w:rFonts w:ascii="Roboto" w:hAnsi="Roboto"/>
        </w:rPr>
      </w:pPr>
      <w:r w:rsidRPr="00DF1621">
        <w:rPr>
          <w:rFonts w:ascii="Roboto" w:hAnsi="Roboto"/>
        </w:rPr>
        <w:t xml:space="preserve">Surplus should stay and be available for use, especially if each site has its own target and </w:t>
      </w:r>
      <w:r w:rsidR="00FB79BA" w:rsidRPr="00DF1621">
        <w:rPr>
          <w:rFonts w:ascii="Roboto" w:hAnsi="Roboto"/>
        </w:rPr>
        <w:t>multi-site</w:t>
      </w:r>
      <w:r w:rsidRPr="00DF1621">
        <w:rPr>
          <w:rFonts w:ascii="Roboto" w:hAnsi="Roboto"/>
        </w:rPr>
        <w:t xml:space="preserve"> companies can use the surplus for internal trading.</w:t>
      </w:r>
    </w:p>
    <w:p w14:paraId="49D8A57A" w14:textId="7D7F41CA" w:rsidR="006670A1" w:rsidRDefault="006670A1" w:rsidP="00AE7BEC">
      <w:pPr>
        <w:spacing w:line="276" w:lineRule="auto"/>
        <w:rPr>
          <w:rFonts w:ascii="Roboto" w:hAnsi="Roboto"/>
          <w:b/>
          <w:bCs/>
        </w:rPr>
      </w:pPr>
      <w:r>
        <w:rPr>
          <w:rFonts w:ascii="Roboto" w:hAnsi="Roboto"/>
          <w:b/>
          <w:bCs/>
        </w:rPr>
        <w:t>Q36.</w:t>
      </w:r>
      <w:r w:rsidR="00904670">
        <w:rPr>
          <w:rFonts w:ascii="Roboto" w:hAnsi="Roboto"/>
          <w:b/>
          <w:bCs/>
        </w:rPr>
        <w:t xml:space="preserve"> </w:t>
      </w:r>
      <w:r w:rsidR="00904670" w:rsidRPr="00904670">
        <w:rPr>
          <w:rFonts w:ascii="Roboto" w:hAnsi="Roboto"/>
          <w:b/>
          <w:bCs/>
        </w:rPr>
        <w:t>Please provide any comments on the timing of a future scheme.</w:t>
      </w:r>
    </w:p>
    <w:p w14:paraId="3B9FD006" w14:textId="78CD26DC" w:rsidR="006670A1" w:rsidRPr="00303A40" w:rsidRDefault="008F1D28" w:rsidP="00303A40">
      <w:pPr>
        <w:spacing w:line="276" w:lineRule="auto"/>
        <w:ind w:left="720"/>
        <w:rPr>
          <w:rFonts w:ascii="Roboto" w:hAnsi="Roboto"/>
        </w:rPr>
      </w:pPr>
      <w:r w:rsidRPr="008F1D28">
        <w:rPr>
          <w:rFonts w:ascii="Roboto" w:hAnsi="Roboto"/>
        </w:rPr>
        <w:t>No comment</w:t>
      </w:r>
      <w:r>
        <w:rPr>
          <w:rFonts w:ascii="Roboto" w:hAnsi="Roboto"/>
        </w:rPr>
        <w:t>.</w:t>
      </w:r>
    </w:p>
    <w:p w14:paraId="79E51474" w14:textId="77777777" w:rsidR="00FD418F" w:rsidRDefault="00FD418F" w:rsidP="00AE7BEC">
      <w:pPr>
        <w:spacing w:line="276" w:lineRule="auto"/>
        <w:rPr>
          <w:rFonts w:ascii="Roboto" w:hAnsi="Roboto"/>
          <w:b/>
          <w:bCs/>
        </w:rPr>
      </w:pPr>
    </w:p>
    <w:p w14:paraId="724BB2AF" w14:textId="77777777" w:rsidR="00303A40" w:rsidRDefault="00303A40" w:rsidP="00AE7BEC">
      <w:pPr>
        <w:spacing w:line="276" w:lineRule="auto"/>
        <w:rPr>
          <w:rFonts w:ascii="Roboto" w:hAnsi="Roboto"/>
          <w:b/>
          <w:bCs/>
        </w:rPr>
      </w:pPr>
    </w:p>
    <w:p w14:paraId="468EFE89" w14:textId="77777777" w:rsidR="00303A40" w:rsidRDefault="00303A40" w:rsidP="00AE7BEC">
      <w:pPr>
        <w:spacing w:line="276" w:lineRule="auto"/>
        <w:rPr>
          <w:rFonts w:ascii="Roboto" w:hAnsi="Roboto"/>
          <w:b/>
          <w:bCs/>
        </w:rPr>
      </w:pPr>
    </w:p>
    <w:p w14:paraId="40FB7486" w14:textId="77777777" w:rsidR="00303A40" w:rsidRPr="00FD418F" w:rsidRDefault="00303A40" w:rsidP="00AE7BEC">
      <w:pPr>
        <w:spacing w:line="276" w:lineRule="auto"/>
        <w:rPr>
          <w:rFonts w:ascii="Roboto" w:hAnsi="Roboto"/>
          <w:b/>
          <w:bCs/>
        </w:rPr>
      </w:pPr>
    </w:p>
    <w:p w14:paraId="022651A1" w14:textId="4108477F" w:rsidR="00AE0506" w:rsidRPr="00CD33F6" w:rsidRDefault="00CD33F6" w:rsidP="00CD33F6">
      <w:pPr>
        <w:spacing w:line="22" w:lineRule="atLeast"/>
        <w:rPr>
          <w:rFonts w:ascii="Roboto" w:hAnsi="Roboto" w:cstheme="minorHAnsi"/>
        </w:rPr>
      </w:pPr>
      <w:r>
        <w:rPr>
          <w:rFonts w:ascii="Roboto" w:hAnsi="Roboto" w:cstheme="minorHAnsi"/>
          <w:b/>
          <w:bCs/>
        </w:rPr>
        <w:t xml:space="preserve">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tblGrid>
      <w:tr w:rsidR="000E40AC" w:rsidRPr="009008E8" w14:paraId="4B4275EC" w14:textId="77777777" w:rsidTr="00D955A1">
        <w:tc>
          <w:tcPr>
            <w:tcW w:w="4494" w:type="dxa"/>
          </w:tcPr>
          <w:p w14:paraId="13163BA6" w14:textId="425E39FA" w:rsidR="000E40AC" w:rsidRPr="009008E8" w:rsidRDefault="000E40AC" w:rsidP="00D955A1">
            <w:pPr>
              <w:spacing w:line="22" w:lineRule="atLeast"/>
              <w:rPr>
                <w:rFonts w:ascii="Roboto" w:hAnsi="Roboto" w:cstheme="minorHAnsi"/>
              </w:rPr>
            </w:pPr>
            <w:r w:rsidRPr="009008E8">
              <w:rPr>
                <w:rFonts w:ascii="Roboto" w:eastAsia="Times New Roman" w:hAnsi="Roboto" w:cs="Times New Roman"/>
                <w:noProof/>
                <w:color w:val="001E37"/>
                <w:lang w:eastAsia="en-GB"/>
              </w:rPr>
              <w:drawing>
                <wp:anchor distT="0" distB="0" distL="114300" distR="114300" simplePos="0" relativeHeight="251665920" behindDoc="0" locked="0" layoutInCell="1" allowOverlap="1" wp14:anchorId="0E686371" wp14:editId="1639A327">
                  <wp:simplePos x="0" y="0"/>
                  <wp:positionH relativeFrom="column">
                    <wp:posOffset>-1988</wp:posOffset>
                  </wp:positionH>
                  <wp:positionV relativeFrom="paragraph">
                    <wp:posOffset>-2733</wp:posOffset>
                  </wp:positionV>
                  <wp:extent cx="692150" cy="692150"/>
                  <wp:effectExtent l="0" t="0" r="0" b="0"/>
                  <wp:wrapSquare wrapText="bothSides"/>
                  <wp:docPr id="2" name="Picture 2" descr="Luisa C. Card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isa C. Carda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anchor>
              </w:drawing>
            </w:r>
            <w:r w:rsidRPr="009008E8">
              <w:rPr>
                <w:rFonts w:ascii="Roboto" w:hAnsi="Roboto" w:cstheme="minorHAnsi"/>
              </w:rPr>
              <w:t>Luisa Cardani</w:t>
            </w:r>
          </w:p>
          <w:p w14:paraId="56FAFE96" w14:textId="37A2B266" w:rsidR="000E40AC" w:rsidRPr="009008E8" w:rsidRDefault="000E40AC" w:rsidP="00D955A1">
            <w:pPr>
              <w:spacing w:line="22" w:lineRule="atLeast"/>
              <w:rPr>
                <w:rFonts w:ascii="Roboto" w:hAnsi="Roboto" w:cstheme="minorHAnsi"/>
              </w:rPr>
            </w:pPr>
            <w:r w:rsidRPr="009008E8">
              <w:rPr>
                <w:rFonts w:ascii="Roboto" w:hAnsi="Roboto" w:cstheme="minorHAnsi"/>
              </w:rPr>
              <w:t>Head of Data Centres Programme, techUK</w:t>
            </w:r>
          </w:p>
          <w:p w14:paraId="53D7FA96" w14:textId="2FA7D961" w:rsidR="000E40AC" w:rsidRPr="009008E8" w:rsidRDefault="000E40AC" w:rsidP="00D955A1">
            <w:pPr>
              <w:spacing w:line="22" w:lineRule="atLeast"/>
              <w:rPr>
                <w:rFonts w:ascii="Roboto" w:hAnsi="Roboto" w:cstheme="minorHAnsi"/>
                <w:b/>
              </w:rPr>
            </w:pPr>
            <w:hyperlink r:id="rId12" w:history="1">
              <w:r w:rsidRPr="009008E8">
                <w:rPr>
                  <w:rStyle w:val="Hyperlink"/>
                  <w:rFonts w:ascii="Roboto" w:eastAsia="Times New Roman" w:hAnsi="Roboto" w:cs="Times New Roman"/>
                  <w:lang w:eastAsia="en-GB"/>
                </w:rPr>
                <w:t>luisa.cardani@techUK.org</w:t>
              </w:r>
            </w:hyperlink>
          </w:p>
        </w:tc>
      </w:tr>
    </w:tbl>
    <w:p w14:paraId="4FB2C1F0" w14:textId="77777777" w:rsidR="00AE0506" w:rsidRPr="009008E8" w:rsidRDefault="00AE0506" w:rsidP="00AE0506">
      <w:pPr>
        <w:spacing w:line="22" w:lineRule="atLeast"/>
        <w:rPr>
          <w:rFonts w:ascii="Roboto" w:hAnsi="Roboto" w:cstheme="minorHAnsi"/>
          <w:lang w:val="fr-FR"/>
        </w:rPr>
      </w:pPr>
    </w:p>
    <w:p w14:paraId="17C700E9" w14:textId="77777777" w:rsidR="00AE0506" w:rsidRPr="004426BE" w:rsidRDefault="00AE0506" w:rsidP="00AE0506">
      <w:pPr>
        <w:spacing w:line="22" w:lineRule="atLeast"/>
        <w:rPr>
          <w:rFonts w:ascii="Roboto" w:hAnsi="Roboto" w:cstheme="minorHAnsi"/>
        </w:rPr>
      </w:pPr>
      <w:r w:rsidRPr="004426BE">
        <w:rPr>
          <w:rFonts w:ascii="Roboto" w:hAnsi="Roboto" w:cstheme="minorHAnsi"/>
          <w:b/>
          <w:bCs/>
        </w:rPr>
        <w:t>About techUK</w:t>
      </w:r>
    </w:p>
    <w:p w14:paraId="0A242114" w14:textId="77777777" w:rsidR="004426BE" w:rsidRPr="004426BE" w:rsidRDefault="00AE0506" w:rsidP="00AE0506">
      <w:pPr>
        <w:spacing w:line="22" w:lineRule="atLeast"/>
        <w:rPr>
          <w:rFonts w:ascii="Roboto" w:hAnsi="Roboto" w:cstheme="minorHAnsi"/>
        </w:rPr>
      </w:pPr>
      <w:r w:rsidRPr="004426BE">
        <w:rPr>
          <w:rFonts w:ascii="Roboto" w:hAnsi="Roboto" w:cstheme="minorHAnsi"/>
        </w:rPr>
        <w:t xml:space="preserve">techUK is the UK’s leading technology membership organisation, with more </w:t>
      </w:r>
      <w:r w:rsidRPr="004426BE">
        <w:rPr>
          <w:rFonts w:ascii="Roboto" w:hAnsi="Roboto" w:cstheme="minorHAnsi"/>
          <w:shd w:val="clear" w:color="auto" w:fill="FFFFFF"/>
        </w:rPr>
        <w:t xml:space="preserve">than </w:t>
      </w:r>
      <w:r w:rsidR="009008E8" w:rsidRPr="004426BE">
        <w:rPr>
          <w:rFonts w:ascii="Roboto" w:hAnsi="Roboto" w:cstheme="minorHAnsi"/>
          <w:shd w:val="clear" w:color="auto" w:fill="FFFFFF"/>
        </w:rPr>
        <w:t>900</w:t>
      </w:r>
      <w:r w:rsidRPr="004426BE">
        <w:rPr>
          <w:rFonts w:ascii="Roboto" w:hAnsi="Roboto" w:cstheme="minorHAnsi"/>
          <w:shd w:val="clear" w:color="auto" w:fill="FFFFFF"/>
        </w:rPr>
        <w:t xml:space="preserve"> members spread across the UK. We are a network that enables our members to learn from each other and grow in a way which contributes to the country both socially and economically.</w:t>
      </w:r>
      <w:r w:rsidRPr="004426BE">
        <w:rPr>
          <w:rFonts w:ascii="Roboto" w:hAnsi="Roboto" w:cstheme="minorHAnsi"/>
        </w:rPr>
        <w:t xml:space="preserve">   </w:t>
      </w:r>
    </w:p>
    <w:p w14:paraId="2D3C153F" w14:textId="72787253" w:rsidR="00A25D4E" w:rsidRDefault="009C2956" w:rsidP="002C2DB3">
      <w:pPr>
        <w:spacing w:line="22" w:lineRule="atLeast"/>
        <w:rPr>
          <w:rStyle w:val="Hyperlink"/>
          <w:rFonts w:ascii="Roboto" w:hAnsi="Roboto" w:cstheme="minorHAnsi"/>
        </w:rPr>
      </w:pPr>
      <w:hyperlink r:id="rId13" w:history="1">
        <w:r w:rsidR="004426BE" w:rsidRPr="004426BE">
          <w:rPr>
            <w:rStyle w:val="Hyperlink"/>
            <w:rFonts w:ascii="Roboto" w:hAnsi="Roboto" w:cstheme="minorHAnsi"/>
          </w:rPr>
          <w:t>www.techuk.org</w:t>
        </w:r>
      </w:hyperlink>
      <w:r w:rsidR="00AE0506" w:rsidRPr="004426BE">
        <w:rPr>
          <w:rStyle w:val="Hyperlink"/>
          <w:rFonts w:ascii="Roboto" w:hAnsi="Roboto" w:cstheme="minorHAnsi"/>
        </w:rPr>
        <w:t xml:space="preserve"> </w:t>
      </w:r>
    </w:p>
    <w:p w14:paraId="4E08958D" w14:textId="77777777" w:rsidR="00DF0EB0" w:rsidRPr="002C2DB3" w:rsidRDefault="00DF0EB0" w:rsidP="002C2DB3">
      <w:pPr>
        <w:spacing w:line="22" w:lineRule="atLeast"/>
        <w:rPr>
          <w:rFonts w:ascii="Roboto" w:hAnsi="Roboto" w:cstheme="minorHAnsi"/>
          <w:color w:val="0563C1" w:themeColor="hyperlink"/>
          <w:u w:val="single"/>
        </w:rPr>
      </w:pPr>
    </w:p>
    <w:sectPr w:rsidR="00DF0EB0" w:rsidRPr="002C2DB3" w:rsidSect="00C5070B">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4060" w14:textId="77777777" w:rsidR="006604E3" w:rsidRDefault="006604E3" w:rsidP="00BF3CE9">
      <w:pPr>
        <w:spacing w:after="0" w:line="240" w:lineRule="auto"/>
      </w:pPr>
      <w:r>
        <w:separator/>
      </w:r>
    </w:p>
  </w:endnote>
  <w:endnote w:type="continuationSeparator" w:id="0">
    <w:p w14:paraId="61A5FA43" w14:textId="77777777" w:rsidR="006604E3" w:rsidRDefault="006604E3" w:rsidP="00BF3CE9">
      <w:pPr>
        <w:spacing w:after="0" w:line="240" w:lineRule="auto"/>
      </w:pPr>
      <w:r>
        <w:continuationSeparator/>
      </w:r>
    </w:p>
  </w:endnote>
  <w:endnote w:type="continuationNotice" w:id="1">
    <w:p w14:paraId="1647900C" w14:textId="77777777" w:rsidR="006604E3" w:rsidRDefault="00660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5611" w14:textId="77777777" w:rsidR="00393B03" w:rsidRDefault="00393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5634" w14:textId="77777777" w:rsidR="00393B03" w:rsidRDefault="00393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1574" w14:textId="77777777" w:rsidR="00393B03" w:rsidRDefault="0039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DF6D" w14:textId="77777777" w:rsidR="006604E3" w:rsidRDefault="006604E3" w:rsidP="00BF3CE9">
      <w:pPr>
        <w:spacing w:after="0" w:line="240" w:lineRule="auto"/>
      </w:pPr>
      <w:r>
        <w:separator/>
      </w:r>
    </w:p>
  </w:footnote>
  <w:footnote w:type="continuationSeparator" w:id="0">
    <w:p w14:paraId="27D548F6" w14:textId="77777777" w:rsidR="006604E3" w:rsidRDefault="006604E3" w:rsidP="00BF3CE9">
      <w:pPr>
        <w:spacing w:after="0" w:line="240" w:lineRule="auto"/>
      </w:pPr>
      <w:r>
        <w:continuationSeparator/>
      </w:r>
    </w:p>
  </w:footnote>
  <w:footnote w:type="continuationNotice" w:id="1">
    <w:p w14:paraId="4E6AEE46" w14:textId="77777777" w:rsidR="006604E3" w:rsidRDefault="00660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B9D" w14:textId="7A83C86B" w:rsidR="00393B03" w:rsidRDefault="00A53511">
    <w:pPr>
      <w:pStyle w:val="Header"/>
    </w:pPr>
    <w:r>
      <w:rPr>
        <w:noProof/>
      </w:rPr>
      <w:pict w14:anchorId="330C5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062172" o:spid="_x0000_s1027" type="#_x0000_t136" style="position:absolute;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D1EF" w14:textId="46640B92" w:rsidR="00BF3CE9" w:rsidRDefault="00A53511">
    <w:pPr>
      <w:pStyle w:val="Header"/>
    </w:pPr>
    <w:r>
      <w:rPr>
        <w:noProof/>
      </w:rPr>
      <w:pict w14:anchorId="3E3D0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062173" o:spid="_x0000_s1028" type="#_x0000_t136" style="position:absolute;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BF3CE9">
      <w:rPr>
        <w:noProof/>
      </w:rPr>
      <w:drawing>
        <wp:anchor distT="0" distB="0" distL="114300" distR="114300" simplePos="0" relativeHeight="251657216" behindDoc="1" locked="0" layoutInCell="1" allowOverlap="1" wp14:anchorId="68A8B53D" wp14:editId="02243DD6">
          <wp:simplePos x="0" y="0"/>
          <wp:positionH relativeFrom="column">
            <wp:posOffset>4356100</wp:posOffset>
          </wp:positionH>
          <wp:positionV relativeFrom="paragraph">
            <wp:posOffset>-449580</wp:posOffset>
          </wp:positionV>
          <wp:extent cx="2286000" cy="1096010"/>
          <wp:effectExtent l="0" t="0" r="0" b="0"/>
          <wp:wrapTight wrapText="bothSides">
            <wp:wrapPolygon edited="0">
              <wp:start x="1980" y="4130"/>
              <wp:lineTo x="1620" y="7133"/>
              <wp:lineTo x="1620" y="9761"/>
              <wp:lineTo x="2520" y="15768"/>
              <wp:lineTo x="2880" y="16519"/>
              <wp:lineTo x="11160" y="16519"/>
              <wp:lineTo x="15480" y="15768"/>
              <wp:lineTo x="16380" y="15017"/>
              <wp:lineTo x="16020" y="10888"/>
              <wp:lineTo x="18720" y="10888"/>
              <wp:lineTo x="19980" y="8635"/>
              <wp:lineTo x="19800" y="4130"/>
              <wp:lineTo x="1980" y="4130"/>
            </wp:wrapPolygon>
          </wp:wrapTight>
          <wp:docPr id="9"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1096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0D8B" w14:textId="28437C2D" w:rsidR="00393B03" w:rsidRDefault="00A53511">
    <w:pPr>
      <w:pStyle w:val="Header"/>
    </w:pPr>
    <w:r>
      <w:rPr>
        <w:noProof/>
      </w:rPr>
      <w:pict w14:anchorId="34B53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062171" o:spid="_x0000_s1026" type="#_x0000_t136" style="position:absolute;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52A"/>
    <w:multiLevelType w:val="hybridMultilevel"/>
    <w:tmpl w:val="DFA8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96E26"/>
    <w:multiLevelType w:val="hybridMultilevel"/>
    <w:tmpl w:val="0EFC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B164C"/>
    <w:multiLevelType w:val="hybridMultilevel"/>
    <w:tmpl w:val="0E02E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E660B"/>
    <w:multiLevelType w:val="multilevel"/>
    <w:tmpl w:val="26C0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82027"/>
    <w:multiLevelType w:val="multilevel"/>
    <w:tmpl w:val="7EC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92D92"/>
    <w:multiLevelType w:val="multilevel"/>
    <w:tmpl w:val="D5A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7A500D"/>
    <w:multiLevelType w:val="hybridMultilevel"/>
    <w:tmpl w:val="749E4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70939"/>
    <w:multiLevelType w:val="multilevel"/>
    <w:tmpl w:val="017C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A871BC"/>
    <w:multiLevelType w:val="multilevel"/>
    <w:tmpl w:val="072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AD181C"/>
    <w:multiLevelType w:val="hybridMultilevel"/>
    <w:tmpl w:val="2E28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95833"/>
    <w:multiLevelType w:val="hybridMultilevel"/>
    <w:tmpl w:val="B6CE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4390C"/>
    <w:multiLevelType w:val="multilevel"/>
    <w:tmpl w:val="6C40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8294A"/>
    <w:multiLevelType w:val="multilevel"/>
    <w:tmpl w:val="6E1E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7E68E9"/>
    <w:multiLevelType w:val="multilevel"/>
    <w:tmpl w:val="EC0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96DB6"/>
    <w:multiLevelType w:val="multilevel"/>
    <w:tmpl w:val="7F4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2227AC"/>
    <w:multiLevelType w:val="multilevel"/>
    <w:tmpl w:val="640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2118019">
    <w:abstractNumId w:val="9"/>
  </w:num>
  <w:num w:numId="2" w16cid:durableId="110974005">
    <w:abstractNumId w:val="12"/>
  </w:num>
  <w:num w:numId="3" w16cid:durableId="1077557373">
    <w:abstractNumId w:val="7"/>
  </w:num>
  <w:num w:numId="4" w16cid:durableId="1330475306">
    <w:abstractNumId w:val="8"/>
  </w:num>
  <w:num w:numId="5" w16cid:durableId="777525020">
    <w:abstractNumId w:val="3"/>
  </w:num>
  <w:num w:numId="6" w16cid:durableId="1255286607">
    <w:abstractNumId w:val="13"/>
  </w:num>
  <w:num w:numId="7" w16cid:durableId="343170191">
    <w:abstractNumId w:val="6"/>
  </w:num>
  <w:num w:numId="8" w16cid:durableId="1705597893">
    <w:abstractNumId w:val="10"/>
  </w:num>
  <w:num w:numId="9" w16cid:durableId="473330799">
    <w:abstractNumId w:val="1"/>
  </w:num>
  <w:num w:numId="10" w16cid:durableId="1806967196">
    <w:abstractNumId w:val="0"/>
  </w:num>
  <w:num w:numId="11" w16cid:durableId="731583853">
    <w:abstractNumId w:val="14"/>
  </w:num>
  <w:num w:numId="12" w16cid:durableId="655645764">
    <w:abstractNumId w:val="5"/>
  </w:num>
  <w:num w:numId="13" w16cid:durableId="1511333047">
    <w:abstractNumId w:val="4"/>
  </w:num>
  <w:num w:numId="14" w16cid:durableId="1218322322">
    <w:abstractNumId w:val="15"/>
  </w:num>
  <w:num w:numId="15" w16cid:durableId="171651055">
    <w:abstractNumId w:val="2"/>
  </w:num>
  <w:num w:numId="16" w16cid:durableId="958295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87"/>
    <w:rsid w:val="00001643"/>
    <w:rsid w:val="00003F44"/>
    <w:rsid w:val="00005FD4"/>
    <w:rsid w:val="00007FA4"/>
    <w:rsid w:val="00010A92"/>
    <w:rsid w:val="00012CBB"/>
    <w:rsid w:val="000131FB"/>
    <w:rsid w:val="00015EE6"/>
    <w:rsid w:val="00017ED7"/>
    <w:rsid w:val="00022289"/>
    <w:rsid w:val="000242B6"/>
    <w:rsid w:val="00026872"/>
    <w:rsid w:val="0003505A"/>
    <w:rsid w:val="00037C1A"/>
    <w:rsid w:val="00050775"/>
    <w:rsid w:val="000542D9"/>
    <w:rsid w:val="00060852"/>
    <w:rsid w:val="00072691"/>
    <w:rsid w:val="0007318A"/>
    <w:rsid w:val="00073A9D"/>
    <w:rsid w:val="000749B9"/>
    <w:rsid w:val="00076D1C"/>
    <w:rsid w:val="00084F99"/>
    <w:rsid w:val="00092F65"/>
    <w:rsid w:val="00094A25"/>
    <w:rsid w:val="00095E7A"/>
    <w:rsid w:val="000A0179"/>
    <w:rsid w:val="000A3945"/>
    <w:rsid w:val="000A3EE1"/>
    <w:rsid w:val="000B14D1"/>
    <w:rsid w:val="000B61CE"/>
    <w:rsid w:val="000B715D"/>
    <w:rsid w:val="000C008D"/>
    <w:rsid w:val="000C30C8"/>
    <w:rsid w:val="000C4733"/>
    <w:rsid w:val="000D3C4D"/>
    <w:rsid w:val="000D73F4"/>
    <w:rsid w:val="000D7A0B"/>
    <w:rsid w:val="000E40AC"/>
    <w:rsid w:val="000E5928"/>
    <w:rsid w:val="000E5EAD"/>
    <w:rsid w:val="000F1487"/>
    <w:rsid w:val="000F3EF3"/>
    <w:rsid w:val="000F594F"/>
    <w:rsid w:val="00100A67"/>
    <w:rsid w:val="00101070"/>
    <w:rsid w:val="0010300E"/>
    <w:rsid w:val="00103090"/>
    <w:rsid w:val="00110726"/>
    <w:rsid w:val="001124C5"/>
    <w:rsid w:val="00113737"/>
    <w:rsid w:val="0011721C"/>
    <w:rsid w:val="00125655"/>
    <w:rsid w:val="00125C05"/>
    <w:rsid w:val="00127108"/>
    <w:rsid w:val="0013191B"/>
    <w:rsid w:val="00155D3C"/>
    <w:rsid w:val="00157986"/>
    <w:rsid w:val="0016019C"/>
    <w:rsid w:val="001615E3"/>
    <w:rsid w:val="001617A6"/>
    <w:rsid w:val="001646CF"/>
    <w:rsid w:val="00166293"/>
    <w:rsid w:val="00174C9D"/>
    <w:rsid w:val="00176BFD"/>
    <w:rsid w:val="00177026"/>
    <w:rsid w:val="00177C07"/>
    <w:rsid w:val="001850C6"/>
    <w:rsid w:val="001874AF"/>
    <w:rsid w:val="00196943"/>
    <w:rsid w:val="001971AE"/>
    <w:rsid w:val="001A3502"/>
    <w:rsid w:val="001B04C1"/>
    <w:rsid w:val="001B162C"/>
    <w:rsid w:val="001B1BF5"/>
    <w:rsid w:val="001B2E8D"/>
    <w:rsid w:val="001B57F3"/>
    <w:rsid w:val="001C3CC3"/>
    <w:rsid w:val="001C7789"/>
    <w:rsid w:val="001C7915"/>
    <w:rsid w:val="001D0CC2"/>
    <w:rsid w:val="001D2EF4"/>
    <w:rsid w:val="001D5A1A"/>
    <w:rsid w:val="001D5ACD"/>
    <w:rsid w:val="001D5C39"/>
    <w:rsid w:val="001D6FC7"/>
    <w:rsid w:val="001E3244"/>
    <w:rsid w:val="001E60C0"/>
    <w:rsid w:val="001F39AC"/>
    <w:rsid w:val="00200069"/>
    <w:rsid w:val="00200647"/>
    <w:rsid w:val="00210DF6"/>
    <w:rsid w:val="002120CC"/>
    <w:rsid w:val="00215346"/>
    <w:rsid w:val="002172F9"/>
    <w:rsid w:val="0021795F"/>
    <w:rsid w:val="00220774"/>
    <w:rsid w:val="00229480"/>
    <w:rsid w:val="00233B9C"/>
    <w:rsid w:val="002416D9"/>
    <w:rsid w:val="00244156"/>
    <w:rsid w:val="002456F1"/>
    <w:rsid w:val="002528B6"/>
    <w:rsid w:val="00252D48"/>
    <w:rsid w:val="002627B3"/>
    <w:rsid w:val="002643EC"/>
    <w:rsid w:val="002837FC"/>
    <w:rsid w:val="00287663"/>
    <w:rsid w:val="00287ADB"/>
    <w:rsid w:val="00287F33"/>
    <w:rsid w:val="0029017F"/>
    <w:rsid w:val="00292430"/>
    <w:rsid w:val="002A4CB5"/>
    <w:rsid w:val="002A5541"/>
    <w:rsid w:val="002A61BF"/>
    <w:rsid w:val="002B08DE"/>
    <w:rsid w:val="002B4B5E"/>
    <w:rsid w:val="002C0BCA"/>
    <w:rsid w:val="002C2DB3"/>
    <w:rsid w:val="002C3EFB"/>
    <w:rsid w:val="002C45FD"/>
    <w:rsid w:val="002D0770"/>
    <w:rsid w:val="002D322F"/>
    <w:rsid w:val="002D343D"/>
    <w:rsid w:val="002D4E21"/>
    <w:rsid w:val="002E1240"/>
    <w:rsid w:val="002E13CB"/>
    <w:rsid w:val="002E1C43"/>
    <w:rsid w:val="002E216B"/>
    <w:rsid w:val="002E5245"/>
    <w:rsid w:val="002E5A05"/>
    <w:rsid w:val="002E5B2F"/>
    <w:rsid w:val="002F27B4"/>
    <w:rsid w:val="002F6622"/>
    <w:rsid w:val="00303A40"/>
    <w:rsid w:val="0030444C"/>
    <w:rsid w:val="00312FAC"/>
    <w:rsid w:val="00314357"/>
    <w:rsid w:val="00315539"/>
    <w:rsid w:val="003177E7"/>
    <w:rsid w:val="00320041"/>
    <w:rsid w:val="00322209"/>
    <w:rsid w:val="00324439"/>
    <w:rsid w:val="00327943"/>
    <w:rsid w:val="0033139A"/>
    <w:rsid w:val="003313FD"/>
    <w:rsid w:val="00333FFD"/>
    <w:rsid w:val="00335453"/>
    <w:rsid w:val="00336E4E"/>
    <w:rsid w:val="00337778"/>
    <w:rsid w:val="003409AB"/>
    <w:rsid w:val="003578D1"/>
    <w:rsid w:val="00363FA0"/>
    <w:rsid w:val="0036466D"/>
    <w:rsid w:val="003700BD"/>
    <w:rsid w:val="0037155B"/>
    <w:rsid w:val="00372B31"/>
    <w:rsid w:val="00377CE7"/>
    <w:rsid w:val="003910A7"/>
    <w:rsid w:val="003923D3"/>
    <w:rsid w:val="00393B03"/>
    <w:rsid w:val="003A1101"/>
    <w:rsid w:val="003A39EF"/>
    <w:rsid w:val="003A4D2B"/>
    <w:rsid w:val="003A7A02"/>
    <w:rsid w:val="003B1031"/>
    <w:rsid w:val="003B1DA1"/>
    <w:rsid w:val="003B57F2"/>
    <w:rsid w:val="003C05E2"/>
    <w:rsid w:val="003C1DBE"/>
    <w:rsid w:val="003C3034"/>
    <w:rsid w:val="003C39D5"/>
    <w:rsid w:val="003C61B5"/>
    <w:rsid w:val="003D25D3"/>
    <w:rsid w:val="003D7AE3"/>
    <w:rsid w:val="003E2D8B"/>
    <w:rsid w:val="003E2E85"/>
    <w:rsid w:val="003F370C"/>
    <w:rsid w:val="003F3F9C"/>
    <w:rsid w:val="003F7B0E"/>
    <w:rsid w:val="004032AD"/>
    <w:rsid w:val="00410508"/>
    <w:rsid w:val="00411E23"/>
    <w:rsid w:val="0041243B"/>
    <w:rsid w:val="00412C9F"/>
    <w:rsid w:val="00441CD5"/>
    <w:rsid w:val="004425EC"/>
    <w:rsid w:val="004426BE"/>
    <w:rsid w:val="00442767"/>
    <w:rsid w:val="00444565"/>
    <w:rsid w:val="00444881"/>
    <w:rsid w:val="00462CB4"/>
    <w:rsid w:val="00463A9D"/>
    <w:rsid w:val="00463B3F"/>
    <w:rsid w:val="0046468A"/>
    <w:rsid w:val="00465846"/>
    <w:rsid w:val="00470862"/>
    <w:rsid w:val="004724A7"/>
    <w:rsid w:val="00476DD6"/>
    <w:rsid w:val="00487E56"/>
    <w:rsid w:val="00491986"/>
    <w:rsid w:val="0049557C"/>
    <w:rsid w:val="004A35CB"/>
    <w:rsid w:val="004B006E"/>
    <w:rsid w:val="004B06E6"/>
    <w:rsid w:val="004B20DE"/>
    <w:rsid w:val="004B2C96"/>
    <w:rsid w:val="004B6938"/>
    <w:rsid w:val="004C2B8C"/>
    <w:rsid w:val="004D0415"/>
    <w:rsid w:val="004D15C3"/>
    <w:rsid w:val="004D2F76"/>
    <w:rsid w:val="004E0B29"/>
    <w:rsid w:val="004E1477"/>
    <w:rsid w:val="004E5042"/>
    <w:rsid w:val="004E5953"/>
    <w:rsid w:val="004E6B09"/>
    <w:rsid w:val="004F471D"/>
    <w:rsid w:val="004F4FD1"/>
    <w:rsid w:val="004F6A7C"/>
    <w:rsid w:val="00501BF7"/>
    <w:rsid w:val="00502A69"/>
    <w:rsid w:val="0050669F"/>
    <w:rsid w:val="00510671"/>
    <w:rsid w:val="005138F7"/>
    <w:rsid w:val="00514553"/>
    <w:rsid w:val="00514C65"/>
    <w:rsid w:val="005153DA"/>
    <w:rsid w:val="00520759"/>
    <w:rsid w:val="00521F0D"/>
    <w:rsid w:val="00536ADA"/>
    <w:rsid w:val="00543767"/>
    <w:rsid w:val="005468A4"/>
    <w:rsid w:val="00553279"/>
    <w:rsid w:val="00555156"/>
    <w:rsid w:val="005571D4"/>
    <w:rsid w:val="005638F8"/>
    <w:rsid w:val="00572657"/>
    <w:rsid w:val="005833A9"/>
    <w:rsid w:val="00584CAE"/>
    <w:rsid w:val="005914DB"/>
    <w:rsid w:val="005A0083"/>
    <w:rsid w:val="005A1811"/>
    <w:rsid w:val="005A4BE4"/>
    <w:rsid w:val="005A591A"/>
    <w:rsid w:val="005A77A5"/>
    <w:rsid w:val="005A7E45"/>
    <w:rsid w:val="005B1A32"/>
    <w:rsid w:val="005B27E2"/>
    <w:rsid w:val="005B5082"/>
    <w:rsid w:val="005B5B59"/>
    <w:rsid w:val="005B7C34"/>
    <w:rsid w:val="005D06F4"/>
    <w:rsid w:val="005D1B06"/>
    <w:rsid w:val="005D56E2"/>
    <w:rsid w:val="005E3478"/>
    <w:rsid w:val="005E4B0A"/>
    <w:rsid w:val="005E7F09"/>
    <w:rsid w:val="005F270B"/>
    <w:rsid w:val="005F2EEF"/>
    <w:rsid w:val="005F3F63"/>
    <w:rsid w:val="005F737B"/>
    <w:rsid w:val="0060647C"/>
    <w:rsid w:val="006106A2"/>
    <w:rsid w:val="00611F34"/>
    <w:rsid w:val="00614CF0"/>
    <w:rsid w:val="00616033"/>
    <w:rsid w:val="006179D2"/>
    <w:rsid w:val="00624065"/>
    <w:rsid w:val="00637841"/>
    <w:rsid w:val="0064280D"/>
    <w:rsid w:val="00644B0A"/>
    <w:rsid w:val="00646D86"/>
    <w:rsid w:val="006479AC"/>
    <w:rsid w:val="00652CBC"/>
    <w:rsid w:val="006604E3"/>
    <w:rsid w:val="00663876"/>
    <w:rsid w:val="006670A1"/>
    <w:rsid w:val="00670FFD"/>
    <w:rsid w:val="006739A4"/>
    <w:rsid w:val="00680857"/>
    <w:rsid w:val="0068306D"/>
    <w:rsid w:val="0068452F"/>
    <w:rsid w:val="00686923"/>
    <w:rsid w:val="00690F6B"/>
    <w:rsid w:val="00693FA7"/>
    <w:rsid w:val="00694D6E"/>
    <w:rsid w:val="00697220"/>
    <w:rsid w:val="006974BA"/>
    <w:rsid w:val="006A1ABE"/>
    <w:rsid w:val="006A4691"/>
    <w:rsid w:val="006B5687"/>
    <w:rsid w:val="006C21A9"/>
    <w:rsid w:val="006C283B"/>
    <w:rsid w:val="006C3774"/>
    <w:rsid w:val="006C4DA8"/>
    <w:rsid w:val="006C70E3"/>
    <w:rsid w:val="006D155F"/>
    <w:rsid w:val="006D30A5"/>
    <w:rsid w:val="006D36C4"/>
    <w:rsid w:val="006D4583"/>
    <w:rsid w:val="006E0112"/>
    <w:rsid w:val="006F0F0C"/>
    <w:rsid w:val="006F1C29"/>
    <w:rsid w:val="006F2D07"/>
    <w:rsid w:val="006F5852"/>
    <w:rsid w:val="006F611A"/>
    <w:rsid w:val="007055A4"/>
    <w:rsid w:val="00712474"/>
    <w:rsid w:val="00714CA3"/>
    <w:rsid w:val="00714DA4"/>
    <w:rsid w:val="0071648E"/>
    <w:rsid w:val="007203A5"/>
    <w:rsid w:val="00727318"/>
    <w:rsid w:val="00727553"/>
    <w:rsid w:val="007327C2"/>
    <w:rsid w:val="00737397"/>
    <w:rsid w:val="00743B51"/>
    <w:rsid w:val="00755F2A"/>
    <w:rsid w:val="00756507"/>
    <w:rsid w:val="00764DF1"/>
    <w:rsid w:val="00781F6B"/>
    <w:rsid w:val="00782B03"/>
    <w:rsid w:val="0079076E"/>
    <w:rsid w:val="007927D7"/>
    <w:rsid w:val="007A2FE8"/>
    <w:rsid w:val="007A7A64"/>
    <w:rsid w:val="007B33CA"/>
    <w:rsid w:val="007B4BD2"/>
    <w:rsid w:val="007B58FB"/>
    <w:rsid w:val="007C1945"/>
    <w:rsid w:val="007C5152"/>
    <w:rsid w:val="007C57AB"/>
    <w:rsid w:val="007F374A"/>
    <w:rsid w:val="007F6FC8"/>
    <w:rsid w:val="007F7222"/>
    <w:rsid w:val="007F7829"/>
    <w:rsid w:val="00800866"/>
    <w:rsid w:val="00800A5A"/>
    <w:rsid w:val="00801D19"/>
    <w:rsid w:val="00813351"/>
    <w:rsid w:val="00816C6A"/>
    <w:rsid w:val="00822750"/>
    <w:rsid w:val="00823F1E"/>
    <w:rsid w:val="0082550B"/>
    <w:rsid w:val="00833AD8"/>
    <w:rsid w:val="00836413"/>
    <w:rsid w:val="0085141F"/>
    <w:rsid w:val="008571E0"/>
    <w:rsid w:val="008612C8"/>
    <w:rsid w:val="00867F03"/>
    <w:rsid w:val="008826B6"/>
    <w:rsid w:val="00894CB1"/>
    <w:rsid w:val="008B05EF"/>
    <w:rsid w:val="008B2F83"/>
    <w:rsid w:val="008C1749"/>
    <w:rsid w:val="008C279F"/>
    <w:rsid w:val="008C3513"/>
    <w:rsid w:val="008C4A3B"/>
    <w:rsid w:val="008D18FF"/>
    <w:rsid w:val="008D71C0"/>
    <w:rsid w:val="008E4317"/>
    <w:rsid w:val="008E6842"/>
    <w:rsid w:val="008E76B8"/>
    <w:rsid w:val="008F1D28"/>
    <w:rsid w:val="008F30A7"/>
    <w:rsid w:val="008F63EC"/>
    <w:rsid w:val="008F66F1"/>
    <w:rsid w:val="008F6734"/>
    <w:rsid w:val="009008E8"/>
    <w:rsid w:val="0090208B"/>
    <w:rsid w:val="00904670"/>
    <w:rsid w:val="00910D18"/>
    <w:rsid w:val="009156FD"/>
    <w:rsid w:val="00924B5F"/>
    <w:rsid w:val="00924C4F"/>
    <w:rsid w:val="009258E6"/>
    <w:rsid w:val="009267CC"/>
    <w:rsid w:val="00930143"/>
    <w:rsid w:val="00937F1E"/>
    <w:rsid w:val="00942617"/>
    <w:rsid w:val="00944952"/>
    <w:rsid w:val="00950D90"/>
    <w:rsid w:val="009519A4"/>
    <w:rsid w:val="00953F1E"/>
    <w:rsid w:val="009574D9"/>
    <w:rsid w:val="00957B54"/>
    <w:rsid w:val="00961083"/>
    <w:rsid w:val="009626F3"/>
    <w:rsid w:val="009638B5"/>
    <w:rsid w:val="00965A04"/>
    <w:rsid w:val="009719A5"/>
    <w:rsid w:val="009723BA"/>
    <w:rsid w:val="00972C4B"/>
    <w:rsid w:val="009826B3"/>
    <w:rsid w:val="00985190"/>
    <w:rsid w:val="0098643E"/>
    <w:rsid w:val="009873E7"/>
    <w:rsid w:val="00991054"/>
    <w:rsid w:val="0099308A"/>
    <w:rsid w:val="009A0E6D"/>
    <w:rsid w:val="009A540A"/>
    <w:rsid w:val="009A66E5"/>
    <w:rsid w:val="009B4A84"/>
    <w:rsid w:val="009C2956"/>
    <w:rsid w:val="009C5394"/>
    <w:rsid w:val="009C5439"/>
    <w:rsid w:val="009C683B"/>
    <w:rsid w:val="009C71B5"/>
    <w:rsid w:val="009D2EF2"/>
    <w:rsid w:val="009E4184"/>
    <w:rsid w:val="009E5657"/>
    <w:rsid w:val="009F06C2"/>
    <w:rsid w:val="009F162A"/>
    <w:rsid w:val="009F264F"/>
    <w:rsid w:val="00A1346A"/>
    <w:rsid w:val="00A17225"/>
    <w:rsid w:val="00A207A5"/>
    <w:rsid w:val="00A22B41"/>
    <w:rsid w:val="00A25D4E"/>
    <w:rsid w:val="00A2718D"/>
    <w:rsid w:val="00A34C54"/>
    <w:rsid w:val="00A3776A"/>
    <w:rsid w:val="00A417B4"/>
    <w:rsid w:val="00A422AA"/>
    <w:rsid w:val="00A44E10"/>
    <w:rsid w:val="00A51102"/>
    <w:rsid w:val="00A51BF3"/>
    <w:rsid w:val="00A53511"/>
    <w:rsid w:val="00A56648"/>
    <w:rsid w:val="00A61283"/>
    <w:rsid w:val="00A6575F"/>
    <w:rsid w:val="00A67ADF"/>
    <w:rsid w:val="00A70E83"/>
    <w:rsid w:val="00A7125C"/>
    <w:rsid w:val="00A71948"/>
    <w:rsid w:val="00A76FAA"/>
    <w:rsid w:val="00A77D27"/>
    <w:rsid w:val="00A83695"/>
    <w:rsid w:val="00A85D2C"/>
    <w:rsid w:val="00A92DE1"/>
    <w:rsid w:val="00A94643"/>
    <w:rsid w:val="00A969CB"/>
    <w:rsid w:val="00AA7528"/>
    <w:rsid w:val="00AB020B"/>
    <w:rsid w:val="00AB3A69"/>
    <w:rsid w:val="00AB55C9"/>
    <w:rsid w:val="00AB73B7"/>
    <w:rsid w:val="00AC09E6"/>
    <w:rsid w:val="00AC2391"/>
    <w:rsid w:val="00AC46EF"/>
    <w:rsid w:val="00AC49D4"/>
    <w:rsid w:val="00AC6991"/>
    <w:rsid w:val="00AC6DFA"/>
    <w:rsid w:val="00AC7298"/>
    <w:rsid w:val="00AD104C"/>
    <w:rsid w:val="00AD1AF0"/>
    <w:rsid w:val="00AD6358"/>
    <w:rsid w:val="00AD6D7B"/>
    <w:rsid w:val="00AD73F8"/>
    <w:rsid w:val="00AE0506"/>
    <w:rsid w:val="00AE7BEC"/>
    <w:rsid w:val="00AF153F"/>
    <w:rsid w:val="00AF42B5"/>
    <w:rsid w:val="00B00E25"/>
    <w:rsid w:val="00B077D5"/>
    <w:rsid w:val="00B12D48"/>
    <w:rsid w:val="00B16D1D"/>
    <w:rsid w:val="00B17D7C"/>
    <w:rsid w:val="00B20B4B"/>
    <w:rsid w:val="00B21BFB"/>
    <w:rsid w:val="00B2340D"/>
    <w:rsid w:val="00B235CF"/>
    <w:rsid w:val="00B248CA"/>
    <w:rsid w:val="00B315F9"/>
    <w:rsid w:val="00B32A49"/>
    <w:rsid w:val="00B34324"/>
    <w:rsid w:val="00B419E7"/>
    <w:rsid w:val="00B44C81"/>
    <w:rsid w:val="00B45C54"/>
    <w:rsid w:val="00B531C9"/>
    <w:rsid w:val="00B53891"/>
    <w:rsid w:val="00B647B5"/>
    <w:rsid w:val="00B64EE2"/>
    <w:rsid w:val="00B6589C"/>
    <w:rsid w:val="00B65CCC"/>
    <w:rsid w:val="00B71FE6"/>
    <w:rsid w:val="00B7315F"/>
    <w:rsid w:val="00B762F4"/>
    <w:rsid w:val="00B926D0"/>
    <w:rsid w:val="00BA36A5"/>
    <w:rsid w:val="00BA394E"/>
    <w:rsid w:val="00BA6406"/>
    <w:rsid w:val="00BA6836"/>
    <w:rsid w:val="00BB0915"/>
    <w:rsid w:val="00BB5547"/>
    <w:rsid w:val="00BB6845"/>
    <w:rsid w:val="00BC0334"/>
    <w:rsid w:val="00BC34B7"/>
    <w:rsid w:val="00BC4547"/>
    <w:rsid w:val="00BC5292"/>
    <w:rsid w:val="00BC52AF"/>
    <w:rsid w:val="00BD373B"/>
    <w:rsid w:val="00BD3C8E"/>
    <w:rsid w:val="00BD4FBF"/>
    <w:rsid w:val="00BD5755"/>
    <w:rsid w:val="00BD64CF"/>
    <w:rsid w:val="00BE2749"/>
    <w:rsid w:val="00BE3A0C"/>
    <w:rsid w:val="00BE477F"/>
    <w:rsid w:val="00BE4EBA"/>
    <w:rsid w:val="00BE5380"/>
    <w:rsid w:val="00BE57C4"/>
    <w:rsid w:val="00BE6203"/>
    <w:rsid w:val="00BE7C2E"/>
    <w:rsid w:val="00BF05B8"/>
    <w:rsid w:val="00BF1AB6"/>
    <w:rsid w:val="00BF29A9"/>
    <w:rsid w:val="00BF3CE9"/>
    <w:rsid w:val="00BF487F"/>
    <w:rsid w:val="00C07069"/>
    <w:rsid w:val="00C15C10"/>
    <w:rsid w:val="00C20E4C"/>
    <w:rsid w:val="00C21206"/>
    <w:rsid w:val="00C223C5"/>
    <w:rsid w:val="00C3058C"/>
    <w:rsid w:val="00C32E84"/>
    <w:rsid w:val="00C44BAF"/>
    <w:rsid w:val="00C45AF6"/>
    <w:rsid w:val="00C4736D"/>
    <w:rsid w:val="00C47DB2"/>
    <w:rsid w:val="00C5070B"/>
    <w:rsid w:val="00C5144B"/>
    <w:rsid w:val="00C5226A"/>
    <w:rsid w:val="00C5285F"/>
    <w:rsid w:val="00C53B6F"/>
    <w:rsid w:val="00C55669"/>
    <w:rsid w:val="00C55B28"/>
    <w:rsid w:val="00C71E64"/>
    <w:rsid w:val="00C72BE2"/>
    <w:rsid w:val="00C73B4A"/>
    <w:rsid w:val="00C75DD1"/>
    <w:rsid w:val="00C8113E"/>
    <w:rsid w:val="00C8190D"/>
    <w:rsid w:val="00C834B9"/>
    <w:rsid w:val="00C97430"/>
    <w:rsid w:val="00CA18D6"/>
    <w:rsid w:val="00CC5E95"/>
    <w:rsid w:val="00CC640E"/>
    <w:rsid w:val="00CC6E2A"/>
    <w:rsid w:val="00CC762C"/>
    <w:rsid w:val="00CC7E69"/>
    <w:rsid w:val="00CD0B14"/>
    <w:rsid w:val="00CD33F6"/>
    <w:rsid w:val="00CD5B6A"/>
    <w:rsid w:val="00CD69C8"/>
    <w:rsid w:val="00CD7FE2"/>
    <w:rsid w:val="00CE0FD2"/>
    <w:rsid w:val="00CE4B3F"/>
    <w:rsid w:val="00CE5F88"/>
    <w:rsid w:val="00CF1038"/>
    <w:rsid w:val="00CF453D"/>
    <w:rsid w:val="00CF754F"/>
    <w:rsid w:val="00D03904"/>
    <w:rsid w:val="00D126DB"/>
    <w:rsid w:val="00D133A6"/>
    <w:rsid w:val="00D14F55"/>
    <w:rsid w:val="00D200B3"/>
    <w:rsid w:val="00D2436E"/>
    <w:rsid w:val="00D345D1"/>
    <w:rsid w:val="00D35856"/>
    <w:rsid w:val="00D43405"/>
    <w:rsid w:val="00D458A1"/>
    <w:rsid w:val="00D53C53"/>
    <w:rsid w:val="00D542D8"/>
    <w:rsid w:val="00D557E7"/>
    <w:rsid w:val="00D55FB2"/>
    <w:rsid w:val="00D57760"/>
    <w:rsid w:val="00D64128"/>
    <w:rsid w:val="00D64B7B"/>
    <w:rsid w:val="00D6577E"/>
    <w:rsid w:val="00D65C64"/>
    <w:rsid w:val="00D71E23"/>
    <w:rsid w:val="00D80901"/>
    <w:rsid w:val="00D825D4"/>
    <w:rsid w:val="00D85A8F"/>
    <w:rsid w:val="00DA028F"/>
    <w:rsid w:val="00DB30FE"/>
    <w:rsid w:val="00DB45A2"/>
    <w:rsid w:val="00DB5B48"/>
    <w:rsid w:val="00DB7174"/>
    <w:rsid w:val="00DB71AB"/>
    <w:rsid w:val="00DC3271"/>
    <w:rsid w:val="00DD4ED0"/>
    <w:rsid w:val="00DD5299"/>
    <w:rsid w:val="00DD64D4"/>
    <w:rsid w:val="00DE4707"/>
    <w:rsid w:val="00DE6706"/>
    <w:rsid w:val="00DE6FE9"/>
    <w:rsid w:val="00DF0E00"/>
    <w:rsid w:val="00DF0EB0"/>
    <w:rsid w:val="00DF1621"/>
    <w:rsid w:val="00DF2EF9"/>
    <w:rsid w:val="00DF3980"/>
    <w:rsid w:val="00E07DB3"/>
    <w:rsid w:val="00E1281A"/>
    <w:rsid w:val="00E137CA"/>
    <w:rsid w:val="00E13EF8"/>
    <w:rsid w:val="00E15399"/>
    <w:rsid w:val="00E1755E"/>
    <w:rsid w:val="00E20079"/>
    <w:rsid w:val="00E21832"/>
    <w:rsid w:val="00E2498A"/>
    <w:rsid w:val="00E24A05"/>
    <w:rsid w:val="00E3589B"/>
    <w:rsid w:val="00E3763A"/>
    <w:rsid w:val="00E431F2"/>
    <w:rsid w:val="00E44F46"/>
    <w:rsid w:val="00E46972"/>
    <w:rsid w:val="00E46AE6"/>
    <w:rsid w:val="00E5173B"/>
    <w:rsid w:val="00E54C60"/>
    <w:rsid w:val="00E61981"/>
    <w:rsid w:val="00E645B9"/>
    <w:rsid w:val="00E650C5"/>
    <w:rsid w:val="00E70562"/>
    <w:rsid w:val="00E836D3"/>
    <w:rsid w:val="00E858D1"/>
    <w:rsid w:val="00E861C9"/>
    <w:rsid w:val="00E96EFD"/>
    <w:rsid w:val="00E97BFE"/>
    <w:rsid w:val="00EA7A81"/>
    <w:rsid w:val="00EB1320"/>
    <w:rsid w:val="00EB37CD"/>
    <w:rsid w:val="00EB4737"/>
    <w:rsid w:val="00EB6737"/>
    <w:rsid w:val="00EC3BFF"/>
    <w:rsid w:val="00EC7DAD"/>
    <w:rsid w:val="00EE2BF9"/>
    <w:rsid w:val="00EF1EFA"/>
    <w:rsid w:val="00EF468E"/>
    <w:rsid w:val="00EF5D51"/>
    <w:rsid w:val="00EF62A1"/>
    <w:rsid w:val="00EF695F"/>
    <w:rsid w:val="00F03D05"/>
    <w:rsid w:val="00F03E76"/>
    <w:rsid w:val="00F04141"/>
    <w:rsid w:val="00F04E95"/>
    <w:rsid w:val="00F066D3"/>
    <w:rsid w:val="00F16341"/>
    <w:rsid w:val="00F32635"/>
    <w:rsid w:val="00F32E7F"/>
    <w:rsid w:val="00F330AB"/>
    <w:rsid w:val="00F36321"/>
    <w:rsid w:val="00F411A2"/>
    <w:rsid w:val="00F41440"/>
    <w:rsid w:val="00F43D50"/>
    <w:rsid w:val="00F444B8"/>
    <w:rsid w:val="00F45CE8"/>
    <w:rsid w:val="00F5246F"/>
    <w:rsid w:val="00F56A9D"/>
    <w:rsid w:val="00F60540"/>
    <w:rsid w:val="00F62650"/>
    <w:rsid w:val="00F63326"/>
    <w:rsid w:val="00F64339"/>
    <w:rsid w:val="00F66440"/>
    <w:rsid w:val="00F76B0C"/>
    <w:rsid w:val="00F858F2"/>
    <w:rsid w:val="00F8739F"/>
    <w:rsid w:val="00F95C20"/>
    <w:rsid w:val="00F96B49"/>
    <w:rsid w:val="00FA39BB"/>
    <w:rsid w:val="00FB57D7"/>
    <w:rsid w:val="00FB79BA"/>
    <w:rsid w:val="00FC3980"/>
    <w:rsid w:val="00FC5602"/>
    <w:rsid w:val="00FC6BE6"/>
    <w:rsid w:val="00FD3CB6"/>
    <w:rsid w:val="00FD418F"/>
    <w:rsid w:val="00FD4F3D"/>
    <w:rsid w:val="00FD63AE"/>
    <w:rsid w:val="00FE747C"/>
    <w:rsid w:val="015E76B6"/>
    <w:rsid w:val="02C92006"/>
    <w:rsid w:val="02D8B25F"/>
    <w:rsid w:val="02E94D6A"/>
    <w:rsid w:val="033223E1"/>
    <w:rsid w:val="03A8E145"/>
    <w:rsid w:val="05AE6243"/>
    <w:rsid w:val="06514EB7"/>
    <w:rsid w:val="06DCC722"/>
    <w:rsid w:val="0798A012"/>
    <w:rsid w:val="07F50299"/>
    <w:rsid w:val="08EF6F9D"/>
    <w:rsid w:val="098A7B20"/>
    <w:rsid w:val="0A7A4B82"/>
    <w:rsid w:val="0AA5462E"/>
    <w:rsid w:val="0B65BC48"/>
    <w:rsid w:val="0BBD81A5"/>
    <w:rsid w:val="0BEA7F27"/>
    <w:rsid w:val="0C659A21"/>
    <w:rsid w:val="0C811FE8"/>
    <w:rsid w:val="0CC616D7"/>
    <w:rsid w:val="0D4FB336"/>
    <w:rsid w:val="0D6C5DDD"/>
    <w:rsid w:val="0D6DB145"/>
    <w:rsid w:val="0DC4560B"/>
    <w:rsid w:val="0DD76C3B"/>
    <w:rsid w:val="0DEC7064"/>
    <w:rsid w:val="0DF8FFE9"/>
    <w:rsid w:val="0EA6CED3"/>
    <w:rsid w:val="0F9E2CEF"/>
    <w:rsid w:val="111FF70C"/>
    <w:rsid w:val="114D0927"/>
    <w:rsid w:val="114D904D"/>
    <w:rsid w:val="123879ED"/>
    <w:rsid w:val="1250735A"/>
    <w:rsid w:val="1261A46C"/>
    <w:rsid w:val="12F6BA60"/>
    <w:rsid w:val="1368AED1"/>
    <w:rsid w:val="13E32771"/>
    <w:rsid w:val="13FA2493"/>
    <w:rsid w:val="1440CB97"/>
    <w:rsid w:val="149645A6"/>
    <w:rsid w:val="15451A34"/>
    <w:rsid w:val="16EC36EE"/>
    <w:rsid w:val="173166F4"/>
    <w:rsid w:val="17F689D5"/>
    <w:rsid w:val="183785B3"/>
    <w:rsid w:val="18CEA74B"/>
    <w:rsid w:val="18F30B54"/>
    <w:rsid w:val="19B17E98"/>
    <w:rsid w:val="19B29F2F"/>
    <w:rsid w:val="19FF1E02"/>
    <w:rsid w:val="1A0E6EF4"/>
    <w:rsid w:val="1A3782A4"/>
    <w:rsid w:val="1A739445"/>
    <w:rsid w:val="1ADFB0A6"/>
    <w:rsid w:val="1B8D2BDA"/>
    <w:rsid w:val="1BCB000E"/>
    <w:rsid w:val="1BCE44D9"/>
    <w:rsid w:val="1C09D19F"/>
    <w:rsid w:val="1C149C8E"/>
    <w:rsid w:val="1C658475"/>
    <w:rsid w:val="1C90C074"/>
    <w:rsid w:val="1CBB8A60"/>
    <w:rsid w:val="1D497939"/>
    <w:rsid w:val="1D873FE0"/>
    <w:rsid w:val="1D91F711"/>
    <w:rsid w:val="1DEE7372"/>
    <w:rsid w:val="1DFEC083"/>
    <w:rsid w:val="1E05ACAA"/>
    <w:rsid w:val="1E7D67D7"/>
    <w:rsid w:val="1E956144"/>
    <w:rsid w:val="1EC4E023"/>
    <w:rsid w:val="1F022AB6"/>
    <w:rsid w:val="1F115EF6"/>
    <w:rsid w:val="1F54C315"/>
    <w:rsid w:val="1FD81DD4"/>
    <w:rsid w:val="20553729"/>
    <w:rsid w:val="2084096C"/>
    <w:rsid w:val="20DB40B4"/>
    <w:rsid w:val="21C409E8"/>
    <w:rsid w:val="23495116"/>
    <w:rsid w:val="23635B8F"/>
    <w:rsid w:val="2388E89E"/>
    <w:rsid w:val="23CE13F5"/>
    <w:rsid w:val="2427E68A"/>
    <w:rsid w:val="2431B184"/>
    <w:rsid w:val="245AE661"/>
    <w:rsid w:val="2487C9D8"/>
    <w:rsid w:val="24943395"/>
    <w:rsid w:val="24B08CBD"/>
    <w:rsid w:val="24D6025B"/>
    <w:rsid w:val="24D8F408"/>
    <w:rsid w:val="25212068"/>
    <w:rsid w:val="256320E7"/>
    <w:rsid w:val="2573475E"/>
    <w:rsid w:val="257AED57"/>
    <w:rsid w:val="25B2962A"/>
    <w:rsid w:val="26805A60"/>
    <w:rsid w:val="26A59B6A"/>
    <w:rsid w:val="26AB550C"/>
    <w:rsid w:val="2825B92E"/>
    <w:rsid w:val="282D33C2"/>
    <w:rsid w:val="2900784A"/>
    <w:rsid w:val="29609B1E"/>
    <w:rsid w:val="29C83146"/>
    <w:rsid w:val="29EBE910"/>
    <w:rsid w:val="2A0716CC"/>
    <w:rsid w:val="2AA05A29"/>
    <w:rsid w:val="2ACE11B0"/>
    <w:rsid w:val="2B4718A0"/>
    <w:rsid w:val="2B89AFA6"/>
    <w:rsid w:val="2B9382B0"/>
    <w:rsid w:val="2BA1A79E"/>
    <w:rsid w:val="2BC5BFF4"/>
    <w:rsid w:val="2C59B713"/>
    <w:rsid w:val="2CC423A0"/>
    <w:rsid w:val="2D0C1984"/>
    <w:rsid w:val="2D2573B7"/>
    <w:rsid w:val="2D35C611"/>
    <w:rsid w:val="2D690733"/>
    <w:rsid w:val="2DCC6189"/>
    <w:rsid w:val="2DDEBCBF"/>
    <w:rsid w:val="2F3C952E"/>
    <w:rsid w:val="2F713F0C"/>
    <w:rsid w:val="302A6013"/>
    <w:rsid w:val="30A025DB"/>
    <w:rsid w:val="30BE73E4"/>
    <w:rsid w:val="31951366"/>
    <w:rsid w:val="31F8E4DA"/>
    <w:rsid w:val="320436F7"/>
    <w:rsid w:val="3219D645"/>
    <w:rsid w:val="32697885"/>
    <w:rsid w:val="326B26A3"/>
    <w:rsid w:val="32C5484A"/>
    <w:rsid w:val="33720EBD"/>
    <w:rsid w:val="33D2BBBE"/>
    <w:rsid w:val="33F8315C"/>
    <w:rsid w:val="34E4161D"/>
    <w:rsid w:val="34F64952"/>
    <w:rsid w:val="35A28961"/>
    <w:rsid w:val="35A7E6DB"/>
    <w:rsid w:val="35F18991"/>
    <w:rsid w:val="3614143A"/>
    <w:rsid w:val="3694BE18"/>
    <w:rsid w:val="38C90AB9"/>
    <w:rsid w:val="3922DAA7"/>
    <w:rsid w:val="3955905D"/>
    <w:rsid w:val="39D0143B"/>
    <w:rsid w:val="39E7061F"/>
    <w:rsid w:val="3A3E4CF5"/>
    <w:rsid w:val="3A9DF17F"/>
    <w:rsid w:val="3A9F1D31"/>
    <w:rsid w:val="3B79FB34"/>
    <w:rsid w:val="3C1823D9"/>
    <w:rsid w:val="3C57EFC9"/>
    <w:rsid w:val="3C692436"/>
    <w:rsid w:val="3CB99729"/>
    <w:rsid w:val="3E6DF86F"/>
    <w:rsid w:val="3F0A3634"/>
    <w:rsid w:val="3FC5075B"/>
    <w:rsid w:val="3FE6BBF2"/>
    <w:rsid w:val="407C1298"/>
    <w:rsid w:val="40FA31C4"/>
    <w:rsid w:val="4150D68A"/>
    <w:rsid w:val="41CF7DDE"/>
    <w:rsid w:val="41F0F9EB"/>
    <w:rsid w:val="426374FD"/>
    <w:rsid w:val="4293ABBB"/>
    <w:rsid w:val="42A86BEC"/>
    <w:rsid w:val="430DF2A2"/>
    <w:rsid w:val="4321D38B"/>
    <w:rsid w:val="432F31A1"/>
    <w:rsid w:val="439A2421"/>
    <w:rsid w:val="43B0CD49"/>
    <w:rsid w:val="4448B136"/>
    <w:rsid w:val="44763B05"/>
    <w:rsid w:val="44B5B8FD"/>
    <w:rsid w:val="45465318"/>
    <w:rsid w:val="459A7E47"/>
    <w:rsid w:val="46995F8B"/>
    <w:rsid w:val="46B3608A"/>
    <w:rsid w:val="472029FC"/>
    <w:rsid w:val="4754D3DA"/>
    <w:rsid w:val="48281862"/>
    <w:rsid w:val="485A9662"/>
    <w:rsid w:val="4873366F"/>
    <w:rsid w:val="48E01F68"/>
    <w:rsid w:val="48FA00E0"/>
    <w:rsid w:val="48FE8513"/>
    <w:rsid w:val="4918E486"/>
    <w:rsid w:val="4A3EBD5F"/>
    <w:rsid w:val="4AB48488"/>
    <w:rsid w:val="4B745B73"/>
    <w:rsid w:val="4BAC474B"/>
    <w:rsid w:val="4C617036"/>
    <w:rsid w:val="4C6CDF33"/>
    <w:rsid w:val="4C6EF6CD"/>
    <w:rsid w:val="4D55F884"/>
    <w:rsid w:val="4D857763"/>
    <w:rsid w:val="4D915FFD"/>
    <w:rsid w:val="4DA8828A"/>
    <w:rsid w:val="4E102BF8"/>
    <w:rsid w:val="4E866039"/>
    <w:rsid w:val="4E992EA7"/>
    <w:rsid w:val="4EA862E7"/>
    <w:rsid w:val="4EC8CEA2"/>
    <w:rsid w:val="4ECDD885"/>
    <w:rsid w:val="4ED8C288"/>
    <w:rsid w:val="4F5CCCEA"/>
    <w:rsid w:val="4F625C45"/>
    <w:rsid w:val="4FC21805"/>
    <w:rsid w:val="50480ADF"/>
    <w:rsid w:val="5084BE7B"/>
    <w:rsid w:val="508E47E0"/>
    <w:rsid w:val="50FDB284"/>
    <w:rsid w:val="51349C3C"/>
    <w:rsid w:val="5140D8C8"/>
    <w:rsid w:val="514B7512"/>
    <w:rsid w:val="51906C01"/>
    <w:rsid w:val="520A2D3D"/>
    <w:rsid w:val="5221E1C3"/>
    <w:rsid w:val="528EAB35"/>
    <w:rsid w:val="530D5289"/>
    <w:rsid w:val="5354CAD5"/>
    <w:rsid w:val="538C502B"/>
    <w:rsid w:val="543B8497"/>
    <w:rsid w:val="54747289"/>
    <w:rsid w:val="55B576C2"/>
    <w:rsid w:val="55BF786F"/>
    <w:rsid w:val="55C05CC7"/>
    <w:rsid w:val="57B5A209"/>
    <w:rsid w:val="57F13535"/>
    <w:rsid w:val="58C7A1E6"/>
    <w:rsid w:val="58F49F68"/>
    <w:rsid w:val="59439F98"/>
    <w:rsid w:val="59B10B1A"/>
    <w:rsid w:val="59EA4620"/>
    <w:rsid w:val="5A0AD809"/>
    <w:rsid w:val="5A166C28"/>
    <w:rsid w:val="5AB67CDF"/>
    <w:rsid w:val="5B2A6ED5"/>
    <w:rsid w:val="5B919545"/>
    <w:rsid w:val="5BE6B1C3"/>
    <w:rsid w:val="5CA31D75"/>
    <w:rsid w:val="5CA7A664"/>
    <w:rsid w:val="5CDE1520"/>
    <w:rsid w:val="5DC088A7"/>
    <w:rsid w:val="5DE6A25E"/>
    <w:rsid w:val="5E6B4B1C"/>
    <w:rsid w:val="5E9F0A4F"/>
    <w:rsid w:val="5F03BECA"/>
    <w:rsid w:val="5F3C417F"/>
    <w:rsid w:val="5F49D086"/>
    <w:rsid w:val="5F631D20"/>
    <w:rsid w:val="5FEEFCBF"/>
    <w:rsid w:val="6003712B"/>
    <w:rsid w:val="60211E2D"/>
    <w:rsid w:val="6055AAA6"/>
    <w:rsid w:val="612A0FC5"/>
    <w:rsid w:val="6176AA25"/>
    <w:rsid w:val="61BB8587"/>
    <w:rsid w:val="62551937"/>
    <w:rsid w:val="628949BD"/>
    <w:rsid w:val="635DB398"/>
    <w:rsid w:val="63CDBB3A"/>
    <w:rsid w:val="6436231F"/>
    <w:rsid w:val="644C47CB"/>
    <w:rsid w:val="64929F80"/>
    <w:rsid w:val="650879CE"/>
    <w:rsid w:val="652193E5"/>
    <w:rsid w:val="652CDA6F"/>
    <w:rsid w:val="65A656C4"/>
    <w:rsid w:val="65D5AE65"/>
    <w:rsid w:val="65E35F22"/>
    <w:rsid w:val="6714A163"/>
    <w:rsid w:val="674096FA"/>
    <w:rsid w:val="6813A640"/>
    <w:rsid w:val="686B6B9D"/>
    <w:rsid w:val="686DF88D"/>
    <w:rsid w:val="6898691F"/>
    <w:rsid w:val="68A79D5F"/>
    <w:rsid w:val="692F09E0"/>
    <w:rsid w:val="6956EEBF"/>
    <w:rsid w:val="69EB7592"/>
    <w:rsid w:val="6A1A47D5"/>
    <w:rsid w:val="6A1B9B3D"/>
    <w:rsid w:val="6A61F2F2"/>
    <w:rsid w:val="6A724003"/>
    <w:rsid w:val="6AF0E757"/>
    <w:rsid w:val="6B2B8582"/>
    <w:rsid w:val="6B4C5106"/>
    <w:rsid w:val="6B75C2C9"/>
    <w:rsid w:val="6C1F1965"/>
    <w:rsid w:val="6C354BC1"/>
    <w:rsid w:val="6C910DD6"/>
    <w:rsid w:val="6C9E1619"/>
    <w:rsid w:val="6D24866E"/>
    <w:rsid w:val="6D2E8FAF"/>
    <w:rsid w:val="6D64525E"/>
    <w:rsid w:val="6D80069B"/>
    <w:rsid w:val="6DE2F9B2"/>
    <w:rsid w:val="6E069A8F"/>
    <w:rsid w:val="6E67BC91"/>
    <w:rsid w:val="6EFE5D52"/>
    <w:rsid w:val="6F280C5F"/>
    <w:rsid w:val="6F2DDC31"/>
    <w:rsid w:val="6FA7AA13"/>
    <w:rsid w:val="701698C9"/>
    <w:rsid w:val="70419375"/>
    <w:rsid w:val="70FB5E03"/>
    <w:rsid w:val="71180026"/>
    <w:rsid w:val="7146F4E3"/>
    <w:rsid w:val="71FA78EE"/>
    <w:rsid w:val="72EDC3F2"/>
    <w:rsid w:val="739A20E6"/>
    <w:rsid w:val="74161E98"/>
    <w:rsid w:val="749D8B19"/>
    <w:rsid w:val="75318238"/>
    <w:rsid w:val="75EFF57C"/>
    <w:rsid w:val="765F6890"/>
    <w:rsid w:val="767761FD"/>
    <w:rsid w:val="7748B55B"/>
    <w:rsid w:val="77D34474"/>
    <w:rsid w:val="78660A25"/>
    <w:rsid w:val="78C28686"/>
    <w:rsid w:val="78C3A9CA"/>
    <w:rsid w:val="790DA493"/>
    <w:rsid w:val="79697458"/>
    <w:rsid w:val="79946F04"/>
    <w:rsid w:val="79CAC58A"/>
    <w:rsid w:val="7A14E0F4"/>
    <w:rsid w:val="7A9C5D6A"/>
    <w:rsid w:val="7AD62805"/>
    <w:rsid w:val="7B2B51CF"/>
    <w:rsid w:val="7C19B7ED"/>
    <w:rsid w:val="7C25F968"/>
    <w:rsid w:val="7C46B56F"/>
    <w:rsid w:val="7C53FECF"/>
    <w:rsid w:val="7D0D8C26"/>
    <w:rsid w:val="7EB15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6F10E"/>
  <w15:docId w15:val="{F1837010-FBCE-4EA9-987F-B9FD821F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D373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87"/>
    <w:pPr>
      <w:ind w:left="720"/>
      <w:contextualSpacing/>
    </w:pPr>
  </w:style>
  <w:style w:type="paragraph" w:styleId="Header">
    <w:name w:val="header"/>
    <w:basedOn w:val="Normal"/>
    <w:link w:val="HeaderChar"/>
    <w:uiPriority w:val="99"/>
    <w:unhideWhenUsed/>
    <w:rsid w:val="00BF3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CE9"/>
  </w:style>
  <w:style w:type="paragraph" w:styleId="Footer">
    <w:name w:val="footer"/>
    <w:basedOn w:val="Normal"/>
    <w:link w:val="FooterChar"/>
    <w:uiPriority w:val="99"/>
    <w:unhideWhenUsed/>
    <w:rsid w:val="00BF3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E9"/>
  </w:style>
  <w:style w:type="character" w:styleId="CommentReference">
    <w:name w:val="annotation reference"/>
    <w:basedOn w:val="DefaultParagraphFont"/>
    <w:uiPriority w:val="99"/>
    <w:semiHidden/>
    <w:unhideWhenUsed/>
    <w:rsid w:val="00EE2BF9"/>
    <w:rPr>
      <w:sz w:val="16"/>
      <w:szCs w:val="16"/>
    </w:rPr>
  </w:style>
  <w:style w:type="paragraph" w:styleId="CommentText">
    <w:name w:val="annotation text"/>
    <w:basedOn w:val="Normal"/>
    <w:link w:val="CommentTextChar"/>
    <w:uiPriority w:val="99"/>
    <w:unhideWhenUsed/>
    <w:rsid w:val="00EE2BF9"/>
    <w:pPr>
      <w:spacing w:line="240" w:lineRule="auto"/>
    </w:pPr>
    <w:rPr>
      <w:sz w:val="20"/>
      <w:szCs w:val="20"/>
    </w:rPr>
  </w:style>
  <w:style w:type="character" w:customStyle="1" w:styleId="CommentTextChar">
    <w:name w:val="Comment Text Char"/>
    <w:basedOn w:val="DefaultParagraphFont"/>
    <w:link w:val="CommentText"/>
    <w:uiPriority w:val="99"/>
    <w:rsid w:val="00EE2BF9"/>
    <w:rPr>
      <w:sz w:val="20"/>
      <w:szCs w:val="20"/>
    </w:rPr>
  </w:style>
  <w:style w:type="paragraph" w:styleId="CommentSubject">
    <w:name w:val="annotation subject"/>
    <w:basedOn w:val="CommentText"/>
    <w:next w:val="CommentText"/>
    <w:link w:val="CommentSubjectChar"/>
    <w:uiPriority w:val="99"/>
    <w:semiHidden/>
    <w:unhideWhenUsed/>
    <w:rsid w:val="00EE2BF9"/>
    <w:rPr>
      <w:b/>
      <w:bCs/>
    </w:rPr>
  </w:style>
  <w:style w:type="character" w:customStyle="1" w:styleId="CommentSubjectChar">
    <w:name w:val="Comment Subject Char"/>
    <w:basedOn w:val="CommentTextChar"/>
    <w:link w:val="CommentSubject"/>
    <w:uiPriority w:val="99"/>
    <w:semiHidden/>
    <w:rsid w:val="00EE2BF9"/>
    <w:rPr>
      <w:b/>
      <w:bCs/>
      <w:sz w:val="20"/>
      <w:szCs w:val="20"/>
    </w:rPr>
  </w:style>
  <w:style w:type="character" w:styleId="Hyperlink">
    <w:name w:val="Hyperlink"/>
    <w:basedOn w:val="DefaultParagraphFont"/>
    <w:uiPriority w:val="99"/>
    <w:unhideWhenUsed/>
    <w:rsid w:val="001D5ACD"/>
    <w:rPr>
      <w:color w:val="0563C1" w:themeColor="hyperlink"/>
      <w:u w:val="single"/>
    </w:rPr>
  </w:style>
  <w:style w:type="character" w:styleId="UnresolvedMention">
    <w:name w:val="Unresolved Mention"/>
    <w:basedOn w:val="DefaultParagraphFont"/>
    <w:uiPriority w:val="99"/>
    <w:semiHidden/>
    <w:unhideWhenUsed/>
    <w:rsid w:val="001D5ACD"/>
    <w:rPr>
      <w:color w:val="605E5C"/>
      <w:shd w:val="clear" w:color="auto" w:fill="E1DFDD"/>
    </w:rPr>
  </w:style>
  <w:style w:type="paragraph" w:styleId="NormalWeb">
    <w:name w:val="Normal (Web)"/>
    <w:basedOn w:val="Normal"/>
    <w:uiPriority w:val="99"/>
    <w:unhideWhenUsed/>
    <w:rsid w:val="006479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574D9"/>
    <w:pPr>
      <w:spacing w:after="0" w:line="240" w:lineRule="auto"/>
    </w:pPr>
  </w:style>
  <w:style w:type="character" w:customStyle="1" w:styleId="Heading4Char">
    <w:name w:val="Heading 4 Char"/>
    <w:basedOn w:val="DefaultParagraphFont"/>
    <w:link w:val="Heading4"/>
    <w:uiPriority w:val="9"/>
    <w:rsid w:val="00BD373B"/>
    <w:rPr>
      <w:rFonts w:ascii="Times New Roman" w:eastAsia="Times New Roman" w:hAnsi="Times New Roman" w:cs="Times New Roman"/>
      <w:b/>
      <w:bCs/>
      <w:sz w:val="24"/>
      <w:szCs w:val="24"/>
      <w:lang w:eastAsia="en-GB"/>
    </w:rPr>
  </w:style>
  <w:style w:type="paragraph" w:customStyle="1" w:styleId="profile-meta">
    <w:name w:val="profile-meta"/>
    <w:basedOn w:val="Normal"/>
    <w:rsid w:val="00BD37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file-text">
    <w:name w:val="profile-text"/>
    <w:basedOn w:val="Normal"/>
    <w:rsid w:val="00BD37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252D48"/>
    <w:rPr>
      <w:vertAlign w:val="superscript"/>
    </w:rPr>
  </w:style>
  <w:style w:type="character" w:customStyle="1" w:styleId="FootnoteTextChar">
    <w:name w:val="Footnote Text Char"/>
    <w:basedOn w:val="DefaultParagraphFont"/>
    <w:link w:val="FootnoteText"/>
    <w:uiPriority w:val="99"/>
    <w:semiHidden/>
    <w:rsid w:val="00252D48"/>
    <w:rPr>
      <w:sz w:val="20"/>
      <w:szCs w:val="20"/>
    </w:rPr>
  </w:style>
  <w:style w:type="paragraph" w:styleId="FootnoteText">
    <w:name w:val="footnote text"/>
    <w:basedOn w:val="Normal"/>
    <w:link w:val="FootnoteTextChar"/>
    <w:uiPriority w:val="99"/>
    <w:semiHidden/>
    <w:unhideWhenUsed/>
    <w:rsid w:val="00252D48"/>
    <w:pPr>
      <w:spacing w:after="0" w:line="240" w:lineRule="auto"/>
    </w:pPr>
    <w:rPr>
      <w:sz w:val="20"/>
      <w:szCs w:val="20"/>
    </w:rPr>
  </w:style>
  <w:style w:type="character" w:customStyle="1" w:styleId="FootnoteTextChar1">
    <w:name w:val="Footnote Text Char1"/>
    <w:basedOn w:val="DefaultParagraphFont"/>
    <w:uiPriority w:val="99"/>
    <w:semiHidden/>
    <w:rsid w:val="00252D48"/>
    <w:rPr>
      <w:sz w:val="20"/>
      <w:szCs w:val="20"/>
    </w:rPr>
  </w:style>
  <w:style w:type="table" w:styleId="TableGrid">
    <w:name w:val="Table Grid"/>
    <w:basedOn w:val="TableNormal"/>
    <w:uiPriority w:val="99"/>
    <w:rsid w:val="00AE0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B234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510671"/>
  </w:style>
  <w:style w:type="character" w:customStyle="1" w:styleId="xxxcontentpasted4">
    <w:name w:val="x_x_x_contentpasted4"/>
    <w:basedOn w:val="DefaultParagraphFont"/>
    <w:rsid w:val="005E3478"/>
  </w:style>
  <w:style w:type="character" w:customStyle="1" w:styleId="xxcontentpasted8">
    <w:name w:val="x_x_contentpasted8"/>
    <w:basedOn w:val="DefaultParagraphFont"/>
    <w:rsid w:val="005E3478"/>
  </w:style>
  <w:style w:type="character" w:customStyle="1" w:styleId="xxxcontentpasted3">
    <w:name w:val="x_x_x_contentpasted3"/>
    <w:basedOn w:val="DefaultParagraphFont"/>
    <w:rsid w:val="00A25D4E"/>
  </w:style>
  <w:style w:type="character" w:customStyle="1" w:styleId="xxcontentpasted4">
    <w:name w:val="xxcontentpasted4"/>
    <w:basedOn w:val="DefaultParagraphFont"/>
    <w:rsid w:val="00A25D4E"/>
  </w:style>
  <w:style w:type="character" w:customStyle="1" w:styleId="contentpasted3">
    <w:name w:val="contentpasted3"/>
    <w:basedOn w:val="DefaultParagraphFont"/>
    <w:rsid w:val="00A25D4E"/>
  </w:style>
  <w:style w:type="paragraph" w:customStyle="1" w:styleId="xelementtoproof">
    <w:name w:val="xelementtoproof"/>
    <w:basedOn w:val="Normal"/>
    <w:rsid w:val="00A25D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40">
    <w:name w:val="x_x_contentpasted4"/>
    <w:basedOn w:val="DefaultParagraphFont"/>
    <w:rsid w:val="00DF0EB0"/>
  </w:style>
  <w:style w:type="paragraph" w:customStyle="1" w:styleId="xelementtoproof0">
    <w:name w:val="x_elementtoproof"/>
    <w:basedOn w:val="Normal"/>
    <w:rsid w:val="00DF0E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15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58">
          <w:marLeft w:val="0"/>
          <w:marRight w:val="0"/>
          <w:marTop w:val="0"/>
          <w:marBottom w:val="0"/>
          <w:divBdr>
            <w:top w:val="none" w:sz="0" w:space="0" w:color="auto"/>
            <w:left w:val="none" w:sz="0" w:space="0" w:color="auto"/>
            <w:bottom w:val="none" w:sz="0" w:space="0" w:color="auto"/>
            <w:right w:val="none" w:sz="0" w:space="0" w:color="auto"/>
          </w:divBdr>
        </w:div>
      </w:divsChild>
    </w:div>
    <w:div w:id="568274193">
      <w:bodyDiv w:val="1"/>
      <w:marLeft w:val="0"/>
      <w:marRight w:val="0"/>
      <w:marTop w:val="0"/>
      <w:marBottom w:val="0"/>
      <w:divBdr>
        <w:top w:val="none" w:sz="0" w:space="0" w:color="auto"/>
        <w:left w:val="none" w:sz="0" w:space="0" w:color="auto"/>
        <w:bottom w:val="none" w:sz="0" w:space="0" w:color="auto"/>
        <w:right w:val="none" w:sz="0" w:space="0" w:color="auto"/>
      </w:divBdr>
    </w:div>
    <w:div w:id="635372179">
      <w:bodyDiv w:val="1"/>
      <w:marLeft w:val="0"/>
      <w:marRight w:val="0"/>
      <w:marTop w:val="0"/>
      <w:marBottom w:val="0"/>
      <w:divBdr>
        <w:top w:val="none" w:sz="0" w:space="0" w:color="auto"/>
        <w:left w:val="none" w:sz="0" w:space="0" w:color="auto"/>
        <w:bottom w:val="none" w:sz="0" w:space="0" w:color="auto"/>
        <w:right w:val="none" w:sz="0" w:space="0" w:color="auto"/>
      </w:divBdr>
      <w:divsChild>
        <w:div w:id="726881887">
          <w:marLeft w:val="0"/>
          <w:marRight w:val="450"/>
          <w:marTop w:val="0"/>
          <w:marBottom w:val="0"/>
          <w:divBdr>
            <w:top w:val="none" w:sz="0" w:space="0" w:color="auto"/>
            <w:left w:val="none" w:sz="0" w:space="0" w:color="auto"/>
            <w:bottom w:val="none" w:sz="0" w:space="0" w:color="auto"/>
            <w:right w:val="none" w:sz="0" w:space="0" w:color="auto"/>
          </w:divBdr>
        </w:div>
      </w:divsChild>
    </w:div>
    <w:div w:id="1101417928">
      <w:bodyDiv w:val="1"/>
      <w:marLeft w:val="0"/>
      <w:marRight w:val="0"/>
      <w:marTop w:val="0"/>
      <w:marBottom w:val="0"/>
      <w:divBdr>
        <w:top w:val="none" w:sz="0" w:space="0" w:color="auto"/>
        <w:left w:val="none" w:sz="0" w:space="0" w:color="auto"/>
        <w:bottom w:val="none" w:sz="0" w:space="0" w:color="auto"/>
        <w:right w:val="none" w:sz="0" w:space="0" w:color="auto"/>
      </w:divBdr>
      <w:divsChild>
        <w:div w:id="1223712806">
          <w:marLeft w:val="0"/>
          <w:marRight w:val="450"/>
          <w:marTop w:val="0"/>
          <w:marBottom w:val="0"/>
          <w:divBdr>
            <w:top w:val="none" w:sz="0" w:space="0" w:color="auto"/>
            <w:left w:val="none" w:sz="0" w:space="0" w:color="auto"/>
            <w:bottom w:val="none" w:sz="0" w:space="0" w:color="auto"/>
            <w:right w:val="none" w:sz="0" w:space="0" w:color="auto"/>
          </w:divBdr>
        </w:div>
      </w:divsChild>
    </w:div>
    <w:div w:id="1249996773">
      <w:bodyDiv w:val="1"/>
      <w:marLeft w:val="0"/>
      <w:marRight w:val="0"/>
      <w:marTop w:val="0"/>
      <w:marBottom w:val="0"/>
      <w:divBdr>
        <w:top w:val="none" w:sz="0" w:space="0" w:color="auto"/>
        <w:left w:val="none" w:sz="0" w:space="0" w:color="auto"/>
        <w:bottom w:val="none" w:sz="0" w:space="0" w:color="auto"/>
        <w:right w:val="none" w:sz="0" w:space="0" w:color="auto"/>
      </w:divBdr>
    </w:div>
    <w:div w:id="1288469831">
      <w:bodyDiv w:val="1"/>
      <w:marLeft w:val="0"/>
      <w:marRight w:val="0"/>
      <w:marTop w:val="0"/>
      <w:marBottom w:val="0"/>
      <w:divBdr>
        <w:top w:val="none" w:sz="0" w:space="0" w:color="auto"/>
        <w:left w:val="none" w:sz="0" w:space="0" w:color="auto"/>
        <w:bottom w:val="none" w:sz="0" w:space="0" w:color="auto"/>
        <w:right w:val="none" w:sz="0" w:space="0" w:color="auto"/>
      </w:divBdr>
      <w:divsChild>
        <w:div w:id="930315958">
          <w:marLeft w:val="0"/>
          <w:marRight w:val="450"/>
          <w:marTop w:val="0"/>
          <w:marBottom w:val="0"/>
          <w:divBdr>
            <w:top w:val="none" w:sz="0" w:space="0" w:color="auto"/>
            <w:left w:val="none" w:sz="0" w:space="0" w:color="auto"/>
            <w:bottom w:val="none" w:sz="0" w:space="0" w:color="auto"/>
            <w:right w:val="none" w:sz="0" w:space="0" w:color="auto"/>
          </w:divBdr>
        </w:div>
      </w:divsChild>
    </w:div>
    <w:div w:id="1525827424">
      <w:bodyDiv w:val="1"/>
      <w:marLeft w:val="0"/>
      <w:marRight w:val="0"/>
      <w:marTop w:val="0"/>
      <w:marBottom w:val="0"/>
      <w:divBdr>
        <w:top w:val="none" w:sz="0" w:space="0" w:color="auto"/>
        <w:left w:val="none" w:sz="0" w:space="0" w:color="auto"/>
        <w:bottom w:val="none" w:sz="0" w:space="0" w:color="auto"/>
        <w:right w:val="none" w:sz="0" w:space="0" w:color="auto"/>
      </w:divBdr>
      <w:divsChild>
        <w:div w:id="201867938">
          <w:marLeft w:val="0"/>
          <w:marRight w:val="450"/>
          <w:marTop w:val="0"/>
          <w:marBottom w:val="0"/>
          <w:divBdr>
            <w:top w:val="none" w:sz="0" w:space="0" w:color="auto"/>
            <w:left w:val="none" w:sz="0" w:space="0" w:color="auto"/>
            <w:bottom w:val="none" w:sz="0" w:space="0" w:color="auto"/>
            <w:right w:val="none" w:sz="0" w:space="0" w:color="auto"/>
          </w:divBdr>
        </w:div>
      </w:divsChild>
    </w:div>
    <w:div w:id="1860577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chuk.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uisa.cardani@techUK.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ssets.publishing.service.gov.uk/government/uploads/system/uploads/attachment_data/file/1142487/cca-consultation-on-extension-to-31-mar-2027-proposals-for-future-scheme.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5" ma:contentTypeDescription="Create a new document." ma:contentTypeScope="" ma:versionID="0cfa77d357f0335ebad7c22ce1d3d781">
  <xsd:schema xmlns:xsd="http://www.w3.org/2001/XMLSchema" xmlns:xs="http://www.w3.org/2001/XMLSchema" xmlns:p="http://schemas.microsoft.com/office/2006/metadata/properties" xmlns:ns2="8e27b02f-614c-4e59-bd95-2db16e9187d1" xmlns:ns3="95096f47-cf50-4d7e-8303-9a957fd7003e" targetNamespace="http://schemas.microsoft.com/office/2006/metadata/properties" ma:root="true" ma:fieldsID="853bdd6efa7a4beba0ee8d09c88f83fc" ns2:_="" ns3:_="">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e41c1d-3341-4fc7-b55a-8b75683c60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220aa7-968d-4b70-992a-35f85b603fc5}" ma:internalName="TaxCatchAll" ma:showField="CatchAllData" ma:web="95096f47-cf50-4d7e-8303-9a957fd7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7b02f-614c-4e59-bd95-2db16e9187d1">
      <Terms xmlns="http://schemas.microsoft.com/office/infopath/2007/PartnerControls"/>
    </lcf76f155ced4ddcb4097134ff3c332f>
    <TaxCatchAll xmlns="95096f47-cf50-4d7e-8303-9a957fd7003e" xsi:nil="true"/>
  </documentManagement>
</p:properties>
</file>

<file path=customXml/itemProps1.xml><?xml version="1.0" encoding="utf-8"?>
<ds:datastoreItem xmlns:ds="http://schemas.openxmlformats.org/officeDocument/2006/customXml" ds:itemID="{B78057A7-A24C-4D95-9494-7FAB8D55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01D0-24AB-4350-A861-9CF93843F15D}">
  <ds:schemaRefs>
    <ds:schemaRef ds:uri="http://schemas.microsoft.com/sharepoint/v3/contenttype/forms"/>
  </ds:schemaRefs>
</ds:datastoreItem>
</file>

<file path=customXml/itemProps3.xml><?xml version="1.0" encoding="utf-8"?>
<ds:datastoreItem xmlns:ds="http://schemas.openxmlformats.org/officeDocument/2006/customXml" ds:itemID="{26A55868-A71D-4020-A161-80FE35CFCDCD}">
  <ds:schemaRefs>
    <ds:schemaRef ds:uri="http://schemas.microsoft.com/office/2006/metadata/properties"/>
    <ds:schemaRef ds:uri="http://schemas.microsoft.com/office/infopath/2007/PartnerControls"/>
    <ds:schemaRef ds:uri="8e27b02f-614c-4e59-bd95-2db16e9187d1"/>
    <ds:schemaRef ds:uri="95096f47-cf50-4d7e-8303-9a957fd7003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Links>
    <vt:vector size="18" baseType="variant">
      <vt:variant>
        <vt:i4>2949189</vt:i4>
      </vt:variant>
      <vt:variant>
        <vt:i4>6</vt:i4>
      </vt:variant>
      <vt:variant>
        <vt:i4>0</vt:i4>
      </vt:variant>
      <vt:variant>
        <vt:i4>5</vt:i4>
      </vt:variant>
      <vt:variant>
        <vt:lpwstr>mailto:matthew.evans@techUK.org</vt:lpwstr>
      </vt:variant>
      <vt:variant>
        <vt:lpwstr/>
      </vt:variant>
      <vt:variant>
        <vt:i4>786530</vt:i4>
      </vt:variant>
      <vt:variant>
        <vt:i4>3</vt:i4>
      </vt:variant>
      <vt:variant>
        <vt:i4>0</vt:i4>
      </vt:variant>
      <vt:variant>
        <vt:i4>5</vt:i4>
      </vt:variant>
      <vt:variant>
        <vt:lpwstr>mailto:sophie.james@techuk.org</vt:lpwstr>
      </vt:variant>
      <vt:variant>
        <vt:lpwstr/>
      </vt:variant>
      <vt:variant>
        <vt:i4>2162752</vt:i4>
      </vt:variant>
      <vt:variant>
        <vt:i4>0</vt:i4>
      </vt:variant>
      <vt:variant>
        <vt:i4>0</vt:i4>
      </vt:variant>
      <vt:variant>
        <vt:i4>5</vt:i4>
      </vt:variant>
      <vt:variant>
        <vt:lpwstr>mailto:luisa.cardani@techUK.org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Young</dc:creator>
  <cp:keywords/>
  <dc:description/>
  <cp:lastModifiedBy>Luisa Cardani</cp:lastModifiedBy>
  <cp:revision>91</cp:revision>
  <dcterms:created xsi:type="dcterms:W3CDTF">2023-05-05T13:26:00Z</dcterms:created>
  <dcterms:modified xsi:type="dcterms:W3CDTF">2023-05-05T13:50:00Z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y fmtid="{D5CDD505-2E9C-101B-9397-08002B2CF9AE}" pid="3" name="MediaServiceImageTags">
    <vt:lpwstr/>
  </property>
</Properties>
</file>