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2D66" w:rsidRDefault="003E2D66">
      <w:pPr>
        <w:rPr>
          <w:b/>
          <w:sz w:val="14"/>
          <w:szCs w:val="14"/>
          <w:u w:val="single"/>
        </w:rPr>
      </w:pPr>
    </w:p>
    <w:p w14:paraId="00000002" w14:textId="77777777" w:rsidR="003E2D66" w:rsidRDefault="0060544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Request for an exemption from Self Isolation for critical workers prior to August 16</w:t>
      </w:r>
      <w:proofErr w:type="gramStart"/>
      <w:r>
        <w:rPr>
          <w:b/>
          <w:sz w:val="24"/>
          <w:szCs w:val="24"/>
          <w:u w:val="single"/>
        </w:rPr>
        <w:t xml:space="preserve"> 2021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14:paraId="00000003" w14:textId="77777777" w:rsidR="003E2D66" w:rsidRDefault="003E2D66">
      <w:pPr>
        <w:jc w:val="center"/>
        <w:rPr>
          <w:b/>
          <w:sz w:val="24"/>
          <w:szCs w:val="24"/>
          <w:u w:val="single"/>
        </w:rPr>
      </w:pPr>
    </w:p>
    <w:p w14:paraId="00000004" w14:textId="77777777" w:rsidR="003E2D66" w:rsidRDefault="0060544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DCMS Assessment Form</w:t>
      </w:r>
    </w:p>
    <w:p w14:paraId="00000005" w14:textId="77777777" w:rsidR="003E2D66" w:rsidRDefault="003E2D66">
      <w:pPr>
        <w:jc w:val="center"/>
        <w:rPr>
          <w:u w:val="single"/>
        </w:rPr>
      </w:pPr>
    </w:p>
    <w:p w14:paraId="00000006" w14:textId="77777777" w:rsidR="003E2D66" w:rsidRDefault="00605445">
      <w:pPr>
        <w:jc w:val="center"/>
        <w:rPr>
          <w:b/>
          <w:u w:val="single"/>
        </w:rPr>
      </w:pPr>
      <w:r>
        <w:rPr>
          <w:b/>
          <w:u w:val="single"/>
        </w:rPr>
        <w:t>Part 1 - Summary of information - Requesting Individual / Organisation to complete</w:t>
      </w:r>
    </w:p>
    <w:p w14:paraId="00000007" w14:textId="77777777" w:rsidR="003E2D66" w:rsidRDefault="0060544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note - Assessment forms not completed in full </w:t>
      </w:r>
      <w:proofErr w:type="gramStart"/>
      <w:r>
        <w:rPr>
          <w:i/>
          <w:sz w:val="20"/>
          <w:szCs w:val="20"/>
        </w:rPr>
        <w:t>with</w:t>
      </w:r>
      <w:proofErr w:type="gramEnd"/>
      <w:r>
        <w:rPr>
          <w:i/>
          <w:sz w:val="20"/>
          <w:szCs w:val="20"/>
        </w:rPr>
        <w:t xml:space="preserve"> all required information will not be considered</w:t>
      </w:r>
    </w:p>
    <w:p w14:paraId="00000008" w14:textId="77777777" w:rsidR="003E2D66" w:rsidRDefault="003E2D66"/>
    <w:tbl>
      <w:tblPr>
        <w:tblStyle w:val="a"/>
        <w:tblW w:w="10470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6690"/>
      </w:tblGrid>
      <w:tr w:rsidR="003E2D66" w14:paraId="6FE2E3FD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3E2D66" w:rsidRDefault="006054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the organisation making the exemption request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3E2D66" w:rsidRDefault="003E2D66">
            <w:pPr>
              <w:widowControl w:val="0"/>
              <w:spacing w:line="240" w:lineRule="auto"/>
            </w:pPr>
          </w:p>
        </w:tc>
      </w:tr>
      <w:tr w:rsidR="003E2D66" w14:paraId="6E515CD7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3E2D66" w:rsidRDefault="006054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 sector</w:t>
            </w:r>
            <w:r>
              <w:rPr>
                <w:b/>
              </w:rPr>
              <w:t xml:space="preserve"> affected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E2D66" w:rsidRDefault="003E2D66">
            <w:pPr>
              <w:widowControl w:val="0"/>
              <w:spacing w:line="240" w:lineRule="auto"/>
            </w:pPr>
          </w:p>
        </w:tc>
      </w:tr>
      <w:tr w:rsidR="003E2D66" w14:paraId="42638EBB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3E2D66" w:rsidRDefault="006054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 number of people in need of an exemption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3E2D66" w:rsidRDefault="003E2D66">
            <w:pPr>
              <w:widowControl w:val="0"/>
              <w:spacing w:line="240" w:lineRule="auto"/>
            </w:pPr>
          </w:p>
        </w:tc>
      </w:tr>
      <w:tr w:rsidR="003E2D66" w14:paraId="006761B2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3E2D66" w:rsidRDefault="006054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Name(s) of individual(s) in need of an exemption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3E2D66" w:rsidRDefault="003E2D66">
            <w:pPr>
              <w:widowControl w:val="0"/>
              <w:spacing w:line="240" w:lineRule="auto"/>
            </w:pPr>
          </w:p>
        </w:tc>
      </w:tr>
      <w:tr w:rsidR="003E2D66" w14:paraId="191BA143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3E2D66" w:rsidRDefault="006054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is/are the specific job role(s) of the individual(s) in need of an exemption and how </w:t>
            </w:r>
            <w:proofErr w:type="gramStart"/>
            <w:r>
              <w:rPr>
                <w:b/>
              </w:rPr>
              <w:t>many  in</w:t>
            </w:r>
            <w:proofErr w:type="gramEnd"/>
            <w:r>
              <w:rPr>
                <w:b/>
              </w:rPr>
              <w:t xml:space="preserve">  each role?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3E2D66" w:rsidRDefault="003E2D66">
            <w:pPr>
              <w:widowControl w:val="0"/>
              <w:spacing w:line="240" w:lineRule="auto"/>
            </w:pPr>
          </w:p>
        </w:tc>
      </w:tr>
      <w:tr w:rsidR="003E2D66" w14:paraId="540658A3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3E2D66" w:rsidRDefault="00605445">
            <w:pPr>
              <w:widowControl w:val="0"/>
              <w:rPr>
                <w:b/>
              </w:rPr>
            </w:pPr>
            <w:r>
              <w:rPr>
                <w:b/>
              </w:rPr>
              <w:t>An assessment of the impact failure to do this would have – including what alternative options to manage absences have been considered</w:t>
            </w:r>
          </w:p>
          <w:p w14:paraId="00000014" w14:textId="77777777" w:rsidR="003E2D66" w:rsidRDefault="003E2D66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3E2D66" w:rsidRDefault="003E2D66">
            <w:pPr>
              <w:widowControl w:val="0"/>
              <w:spacing w:line="240" w:lineRule="auto"/>
            </w:pPr>
          </w:p>
        </w:tc>
      </w:tr>
      <w:tr w:rsidR="003E2D66" w14:paraId="1283507F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3E2D66" w:rsidRDefault="00605445">
            <w:pPr>
              <w:widowControl w:val="0"/>
              <w:rPr>
                <w:b/>
              </w:rPr>
            </w:pPr>
            <w:r>
              <w:rPr>
                <w:b/>
              </w:rPr>
              <w:t>An as</w:t>
            </w:r>
            <w:r>
              <w:rPr>
                <w:b/>
              </w:rPr>
              <w:t>sessment of when this impact is likely to materialise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is it already an issue or likely to materialise in the coming days)</w:t>
            </w:r>
          </w:p>
          <w:p w14:paraId="00000017" w14:textId="77777777" w:rsidR="003E2D66" w:rsidRDefault="003E2D66">
            <w:pPr>
              <w:widowControl w:val="0"/>
              <w:rPr>
                <w:b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3E2D66" w:rsidRDefault="003E2D66">
            <w:pPr>
              <w:widowControl w:val="0"/>
              <w:spacing w:line="240" w:lineRule="auto"/>
            </w:pPr>
          </w:p>
        </w:tc>
      </w:tr>
      <w:tr w:rsidR="003E2D66" w14:paraId="52B3D7AD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3E2D66" w:rsidRDefault="00605445">
            <w:pPr>
              <w:widowControl w:val="0"/>
              <w:rPr>
                <w:b/>
              </w:rPr>
            </w:pPr>
            <w:r>
              <w:rPr>
                <w:b/>
              </w:rPr>
              <w:t>What conditions will be put in place to limit the risk of transmission?</w:t>
            </w:r>
          </w:p>
          <w:p w14:paraId="0000001A" w14:textId="77777777" w:rsidR="003E2D66" w:rsidRDefault="003E2D66">
            <w:pPr>
              <w:widowControl w:val="0"/>
              <w:ind w:left="1440" w:hanging="360"/>
              <w:rPr>
                <w:b/>
              </w:rPr>
            </w:pP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3E2D66" w:rsidRDefault="00605445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It is expected that the conditions set out at annex A will be applied as standard in the case of an exemption. Use this box to set out any additional controls or to explain if any of the controls at annex A cannot be applied.</w:t>
            </w:r>
          </w:p>
        </w:tc>
      </w:tr>
      <w:tr w:rsidR="003E2D66" w14:paraId="5865E2E2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3E2D66" w:rsidRDefault="006054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Is/are the individual(s) full</w:t>
            </w:r>
            <w:r>
              <w:rPr>
                <w:b/>
              </w:rPr>
              <w:t>y vaccinated against Covid-19? (Defined as someone who is 14 days post-final dose)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3E2D66" w:rsidRDefault="003E2D66">
            <w:pPr>
              <w:widowControl w:val="0"/>
              <w:spacing w:line="240" w:lineRule="auto"/>
            </w:pPr>
          </w:p>
        </w:tc>
      </w:tr>
      <w:tr w:rsidR="003E2D66" w14:paraId="57BDEC8A" w14:textId="77777777">
        <w:tc>
          <w:tcPr>
            <w:tcW w:w="3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3E2D66" w:rsidRDefault="00605445">
            <w:pPr>
              <w:widowControl w:val="0"/>
              <w:rPr>
                <w:b/>
              </w:rPr>
            </w:pPr>
            <w:r>
              <w:rPr>
                <w:b/>
              </w:rPr>
              <w:t>The name of the lead individual in the workplace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3E2D66" w:rsidRDefault="003E2D66">
            <w:pPr>
              <w:widowControl w:val="0"/>
              <w:spacing w:line="240" w:lineRule="auto"/>
            </w:pPr>
          </w:p>
        </w:tc>
      </w:tr>
    </w:tbl>
    <w:p w14:paraId="00000020" w14:textId="77777777" w:rsidR="003E2D66" w:rsidRDefault="003E2D66"/>
    <w:p w14:paraId="00000021" w14:textId="77777777" w:rsidR="003E2D66" w:rsidRDefault="003E2D66">
      <w:pPr>
        <w:rPr>
          <w:color w:val="222222"/>
          <w:highlight w:val="white"/>
        </w:rPr>
      </w:pPr>
    </w:p>
    <w:p w14:paraId="00000022" w14:textId="77777777" w:rsidR="003E2D66" w:rsidRDefault="00605445">
      <w:pPr>
        <w:rPr>
          <w:b/>
          <w:i/>
          <w:color w:val="222222"/>
          <w:highlight w:val="white"/>
          <w:u w:val="single"/>
        </w:rPr>
      </w:pPr>
      <w:r>
        <w:rPr>
          <w:b/>
          <w:color w:val="222222"/>
          <w:highlight w:val="white"/>
          <w:u w:val="single"/>
        </w:rPr>
        <w:t>Part 2 - Assessment by DCMS Sector Team</w:t>
      </w:r>
    </w:p>
    <w:p w14:paraId="00000023" w14:textId="77777777" w:rsidR="003E2D66" w:rsidRDefault="003E2D66">
      <w:pPr>
        <w:rPr>
          <w:color w:val="222222"/>
          <w:highlight w:val="white"/>
          <w:u w:val="single"/>
        </w:rPr>
      </w:pPr>
    </w:p>
    <w:tbl>
      <w:tblPr>
        <w:tblStyle w:val="a0"/>
        <w:tblW w:w="1051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385"/>
      </w:tblGrid>
      <w:tr w:rsidR="003E2D66" w14:paraId="2C284E50" w14:textId="77777777"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3E2D66" w:rsidRDefault="00605445">
            <w:pPr>
              <w:widowControl w:val="0"/>
              <w:spacing w:line="240" w:lineRule="auto"/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Criteria</w:t>
            </w:r>
          </w:p>
        </w:tc>
        <w:tc>
          <w:tcPr>
            <w:tcW w:w="53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3E2D66" w:rsidRDefault="00605445">
            <w:pPr>
              <w:widowControl w:val="0"/>
              <w:spacing w:line="240" w:lineRule="auto"/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Assessment</w:t>
            </w:r>
          </w:p>
        </w:tc>
      </w:tr>
      <w:tr w:rsidR="003E2D66" w14:paraId="21512749" w14:textId="77777777"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3E2D66" w:rsidRDefault="00605445">
            <w:pPr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</w:rPr>
              <w:t xml:space="preserve">Do you determine the work being undertaken to be critical? 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3E2D66" w:rsidRDefault="003E2D66">
            <w:pPr>
              <w:rPr>
                <w:color w:val="222222"/>
                <w:highlight w:val="white"/>
                <w:u w:val="single"/>
              </w:rPr>
            </w:pPr>
          </w:p>
        </w:tc>
      </w:tr>
      <w:tr w:rsidR="003E2D66" w14:paraId="415CD54A" w14:textId="77777777">
        <w:tc>
          <w:tcPr>
            <w:tcW w:w="5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3E2D66" w:rsidRDefault="00605445">
            <w:pPr>
              <w:widowControl w:val="0"/>
              <w:spacing w:line="240" w:lineRule="auto"/>
              <w:rPr>
                <w:b/>
                <w:color w:val="222222"/>
              </w:rPr>
            </w:pPr>
            <w:r>
              <w:rPr>
                <w:b/>
              </w:rPr>
              <w:t>DCMS Sector team’s view on whether exemption should be granted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</w:tr>
    </w:tbl>
    <w:p w14:paraId="0000002A" w14:textId="77777777" w:rsidR="003E2D66" w:rsidRDefault="003E2D66">
      <w:pPr>
        <w:rPr>
          <w:color w:val="222222"/>
          <w:highlight w:val="white"/>
          <w:u w:val="single"/>
        </w:rPr>
      </w:pPr>
    </w:p>
    <w:p w14:paraId="0000002B" w14:textId="77777777" w:rsidR="003E2D66" w:rsidRDefault="003E2D66">
      <w:pPr>
        <w:rPr>
          <w:color w:val="222222"/>
          <w:highlight w:val="white"/>
          <w:u w:val="single"/>
        </w:rPr>
      </w:pPr>
    </w:p>
    <w:tbl>
      <w:tblPr>
        <w:tblStyle w:val="a1"/>
        <w:tblW w:w="1051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415"/>
      </w:tblGrid>
      <w:tr w:rsidR="003E2D66" w14:paraId="216F5373" w14:textId="77777777">
        <w:tc>
          <w:tcPr>
            <w:tcW w:w="51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3E2D66" w:rsidRDefault="00605445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Sector Team Director approval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</w:tr>
    </w:tbl>
    <w:p w14:paraId="0000002E" w14:textId="77777777" w:rsidR="003E2D66" w:rsidRDefault="003E2D66">
      <w:pPr>
        <w:rPr>
          <w:color w:val="222222"/>
          <w:highlight w:val="white"/>
          <w:u w:val="single"/>
        </w:rPr>
      </w:pPr>
    </w:p>
    <w:p w14:paraId="0000002F" w14:textId="77777777" w:rsidR="003E2D66" w:rsidRDefault="003E2D66">
      <w:pPr>
        <w:rPr>
          <w:b/>
          <w:color w:val="222222"/>
          <w:highlight w:val="white"/>
          <w:u w:val="single"/>
        </w:rPr>
      </w:pPr>
    </w:p>
    <w:p w14:paraId="00000030" w14:textId="77777777" w:rsidR="003E2D66" w:rsidRDefault="003E2D66">
      <w:pPr>
        <w:rPr>
          <w:b/>
          <w:color w:val="222222"/>
          <w:highlight w:val="white"/>
          <w:u w:val="single"/>
        </w:rPr>
      </w:pPr>
    </w:p>
    <w:p w14:paraId="00000031" w14:textId="77777777" w:rsidR="003E2D66" w:rsidRDefault="00605445">
      <w:pPr>
        <w:rPr>
          <w:color w:val="222222"/>
          <w:highlight w:val="white"/>
        </w:rPr>
      </w:pPr>
      <w:r>
        <w:rPr>
          <w:b/>
          <w:color w:val="222222"/>
          <w:highlight w:val="white"/>
          <w:u w:val="single"/>
        </w:rPr>
        <w:t xml:space="preserve">Part 3 - Decision - Covid-19 Hub to complete/SCS to clear </w:t>
      </w:r>
    </w:p>
    <w:p w14:paraId="00000032" w14:textId="77777777" w:rsidR="003E2D66" w:rsidRDefault="003E2D66">
      <w:pPr>
        <w:rPr>
          <w:color w:val="222222"/>
          <w:highlight w:val="white"/>
          <w:u w:val="single"/>
        </w:rPr>
      </w:pPr>
    </w:p>
    <w:tbl>
      <w:tblPr>
        <w:tblStyle w:val="a2"/>
        <w:tblW w:w="1051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415"/>
      </w:tblGrid>
      <w:tr w:rsidR="003E2D66" w14:paraId="46E114E7" w14:textId="77777777">
        <w:tc>
          <w:tcPr>
            <w:tcW w:w="51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3E2D66" w:rsidRDefault="00605445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Covid Hub Policy Team - Preliminary Recommendation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</w:tr>
    </w:tbl>
    <w:p w14:paraId="00000035" w14:textId="77777777" w:rsidR="003E2D66" w:rsidRDefault="003E2D66">
      <w:pPr>
        <w:rPr>
          <w:color w:val="222222"/>
          <w:highlight w:val="white"/>
        </w:rPr>
      </w:pPr>
    </w:p>
    <w:p w14:paraId="00000036" w14:textId="77777777" w:rsidR="003E2D66" w:rsidRDefault="003E2D66">
      <w:pPr>
        <w:rPr>
          <w:color w:val="222222"/>
          <w:highlight w:val="white"/>
          <w:u w:val="single"/>
        </w:rPr>
      </w:pPr>
    </w:p>
    <w:tbl>
      <w:tblPr>
        <w:tblStyle w:val="a3"/>
        <w:tblW w:w="10502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440"/>
        <w:gridCol w:w="4380"/>
        <w:gridCol w:w="1566"/>
        <w:gridCol w:w="1566"/>
      </w:tblGrid>
      <w:tr w:rsidR="003E2D66" w14:paraId="43EBCF9D" w14:textId="77777777">
        <w:tc>
          <w:tcPr>
            <w:tcW w:w="154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3E2D66" w:rsidRDefault="003E2D66">
            <w:pPr>
              <w:rPr>
                <w:b/>
                <w:color w:val="222222"/>
              </w:rPr>
            </w:pPr>
          </w:p>
        </w:tc>
        <w:tc>
          <w:tcPr>
            <w:tcW w:w="14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3E2D66" w:rsidRDefault="00605445">
            <w:pPr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Name</w:t>
            </w:r>
          </w:p>
        </w:tc>
        <w:tc>
          <w:tcPr>
            <w:tcW w:w="43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3E2D66" w:rsidRDefault="00605445">
            <w:pPr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Comments</w:t>
            </w:r>
          </w:p>
        </w:tc>
        <w:tc>
          <w:tcPr>
            <w:tcW w:w="156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3E2D66" w:rsidRDefault="00605445">
            <w:pPr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Approval (Y/N)</w:t>
            </w:r>
          </w:p>
        </w:tc>
        <w:tc>
          <w:tcPr>
            <w:tcW w:w="156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3E2D66" w:rsidRDefault="00605445">
            <w:pPr>
              <w:rPr>
                <w:b/>
                <w:color w:val="222222"/>
                <w:u w:val="single"/>
              </w:rPr>
            </w:pPr>
            <w:r>
              <w:rPr>
                <w:b/>
                <w:color w:val="222222"/>
                <w:u w:val="single"/>
              </w:rPr>
              <w:t>Date</w:t>
            </w:r>
          </w:p>
        </w:tc>
      </w:tr>
      <w:tr w:rsidR="003E2D66" w14:paraId="488890E0" w14:textId="77777777">
        <w:tc>
          <w:tcPr>
            <w:tcW w:w="154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3E2D66" w:rsidRDefault="00605445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Deputy Director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  <w:tc>
          <w:tcPr>
            <w:tcW w:w="1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  <w:tc>
          <w:tcPr>
            <w:tcW w:w="1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</w:tr>
      <w:tr w:rsidR="003E2D66" w14:paraId="3A2ACF38" w14:textId="77777777">
        <w:tc>
          <w:tcPr>
            <w:tcW w:w="154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3E2D66" w:rsidRDefault="00605445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Director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  <w:tc>
          <w:tcPr>
            <w:tcW w:w="1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  <w:tc>
          <w:tcPr>
            <w:tcW w:w="1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3E2D66" w:rsidRDefault="003E2D66">
            <w:pPr>
              <w:rPr>
                <w:color w:val="222222"/>
                <w:highlight w:val="white"/>
              </w:rPr>
            </w:pPr>
          </w:p>
        </w:tc>
      </w:tr>
    </w:tbl>
    <w:p w14:paraId="00000046" w14:textId="77777777" w:rsidR="003E2D66" w:rsidRDefault="003E2D66">
      <w:pPr>
        <w:rPr>
          <w:color w:val="222222"/>
          <w:highlight w:val="white"/>
        </w:rPr>
      </w:pPr>
    </w:p>
    <w:p w14:paraId="00000047" w14:textId="77777777" w:rsidR="003E2D66" w:rsidRDefault="003E2D66"/>
    <w:p w14:paraId="00000048" w14:textId="77777777" w:rsidR="003E2D66" w:rsidRDefault="00605445">
      <w:r>
        <w:br w:type="page"/>
      </w:r>
    </w:p>
    <w:p w14:paraId="00000049" w14:textId="77777777" w:rsidR="003E2D66" w:rsidRDefault="00605445">
      <w:r>
        <w:rPr>
          <w:b/>
        </w:rPr>
        <w:lastRenderedPageBreak/>
        <w:t>Annex A - standard controls expected to apply to all exemptions</w:t>
      </w:r>
    </w:p>
    <w:p w14:paraId="0000004A" w14:textId="77777777" w:rsidR="003E2D66" w:rsidRDefault="003E2D66"/>
    <w:p w14:paraId="0000004B" w14:textId="77777777" w:rsidR="003E2D66" w:rsidRDefault="00605445">
      <w:r>
        <w:t>Where it is agreed that the threshold is met, the following conditions will apply:</w:t>
      </w:r>
    </w:p>
    <w:p w14:paraId="0000004C" w14:textId="77777777" w:rsidR="003E2D66" w:rsidRDefault="00605445">
      <w:pPr>
        <w:numPr>
          <w:ilvl w:val="0"/>
          <w:numId w:val="2"/>
        </w:numPr>
      </w:pPr>
      <w:r>
        <w:t>The individual would have to self-isolate until a negative PCR test result. It may be reasonable if strictly</w:t>
      </w:r>
      <w:r>
        <w:t xml:space="preserve"> necessary to go to work before receiving the results of the PCR test, but only if they have taken an LFD test just before doing so and received a negative result.</w:t>
      </w:r>
    </w:p>
    <w:p w14:paraId="0000004D" w14:textId="77777777" w:rsidR="003E2D66" w:rsidRDefault="00605445">
      <w:pPr>
        <w:numPr>
          <w:ilvl w:val="0"/>
          <w:numId w:val="3"/>
        </w:numPr>
      </w:pPr>
      <w:r>
        <w:t xml:space="preserve">The individual would take daily LFD tests, report the results daily to the line manager and </w:t>
      </w:r>
      <w:r>
        <w:t>self-isolate immediately if they test positive.</w:t>
      </w:r>
    </w:p>
    <w:p w14:paraId="0000004E" w14:textId="77777777" w:rsidR="003E2D66" w:rsidRDefault="00605445">
      <w:pPr>
        <w:numPr>
          <w:ilvl w:val="0"/>
          <w:numId w:val="1"/>
        </w:numPr>
      </w:pPr>
      <w:r>
        <w:t xml:space="preserve">The individual </w:t>
      </w:r>
      <w:proofErr w:type="gramStart"/>
      <w:r>
        <w:t>would</w:t>
      </w:r>
      <w:proofErr w:type="gramEnd"/>
      <w:r>
        <w:t xml:space="preserve"> have to self-isolate if they show any Covid-19 symptoms, no matter how mild and get a new PCR test. They would then need to self-isolate and could only go to work if the new PCR test was negative.</w:t>
      </w:r>
    </w:p>
    <w:p w14:paraId="0000004F" w14:textId="77777777" w:rsidR="003E2D66" w:rsidRDefault="00605445">
      <w:pPr>
        <w:numPr>
          <w:ilvl w:val="0"/>
          <w:numId w:val="1"/>
        </w:numPr>
      </w:pPr>
      <w:r>
        <w:t>The individual would only leave self-i</w:t>
      </w:r>
      <w:r>
        <w:t>solation to attend - and travel to and from – work for specific, named purposes.</w:t>
      </w:r>
    </w:p>
    <w:p w14:paraId="00000050" w14:textId="77777777" w:rsidR="003E2D66" w:rsidRDefault="00605445">
      <w:pPr>
        <w:numPr>
          <w:ilvl w:val="0"/>
          <w:numId w:val="1"/>
        </w:numPr>
      </w:pPr>
      <w:r>
        <w:t xml:space="preserve">The individual could, if strictly necessary, travel on public transport or with others to and from work but would have to wear a face </w:t>
      </w:r>
      <w:proofErr w:type="gramStart"/>
      <w:r>
        <w:t>covering at all times</w:t>
      </w:r>
      <w:proofErr w:type="gramEnd"/>
      <w:r>
        <w:t>.</w:t>
      </w:r>
    </w:p>
    <w:p w14:paraId="00000051" w14:textId="77777777" w:rsidR="003E2D66" w:rsidRDefault="00605445">
      <w:pPr>
        <w:numPr>
          <w:ilvl w:val="0"/>
          <w:numId w:val="1"/>
        </w:numPr>
      </w:pPr>
      <w:r>
        <w:t xml:space="preserve">Social distancing should be optimised and, wherever possible, </w:t>
      </w:r>
      <w:proofErr w:type="gramStart"/>
      <w:r>
        <w:t>maintained at all times</w:t>
      </w:r>
      <w:proofErr w:type="gramEnd"/>
      <w:r>
        <w:t xml:space="preserve"> in the workplace. Face coverings should be </w:t>
      </w:r>
      <w:proofErr w:type="gramStart"/>
      <w:r>
        <w:t>worn at all times</w:t>
      </w:r>
      <w:proofErr w:type="gramEnd"/>
      <w:r>
        <w:t>.</w:t>
      </w:r>
    </w:p>
    <w:p w14:paraId="00000052" w14:textId="77777777" w:rsidR="003E2D66" w:rsidRDefault="00605445">
      <w:pPr>
        <w:numPr>
          <w:ilvl w:val="0"/>
          <w:numId w:val="1"/>
        </w:numPr>
      </w:pPr>
      <w:r>
        <w:t>Individuals would be advised to avoid breaks/meals with other staff and other social contact in enclosed spa</w:t>
      </w:r>
      <w:r>
        <w:t>ces with other staff.</w:t>
      </w:r>
    </w:p>
    <w:p w14:paraId="00000053" w14:textId="77777777" w:rsidR="003E2D66" w:rsidRDefault="003E2D66"/>
    <w:sectPr w:rsidR="003E2D6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892C" w14:textId="77777777" w:rsidR="00000000" w:rsidRDefault="00605445">
      <w:pPr>
        <w:spacing w:line="240" w:lineRule="auto"/>
      </w:pPr>
      <w:r>
        <w:separator/>
      </w:r>
    </w:p>
  </w:endnote>
  <w:endnote w:type="continuationSeparator" w:id="0">
    <w:p w14:paraId="3ECD970C" w14:textId="77777777" w:rsidR="00000000" w:rsidRDefault="00605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72F1" w14:textId="77777777" w:rsidR="00000000" w:rsidRDefault="00605445">
      <w:pPr>
        <w:spacing w:line="240" w:lineRule="auto"/>
      </w:pPr>
      <w:r>
        <w:separator/>
      </w:r>
    </w:p>
  </w:footnote>
  <w:footnote w:type="continuationSeparator" w:id="0">
    <w:p w14:paraId="0DFFA979" w14:textId="77777777" w:rsidR="00000000" w:rsidRDefault="00605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3E2D66" w:rsidRDefault="00605445">
    <w:pPr>
      <w:jc w:val="center"/>
    </w:pPr>
    <w:r>
      <w:t>PLEASE MAKE A COPY OF THIS DOCUMENT BEFORE COMPLETING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14AC"/>
    <w:multiLevelType w:val="multilevel"/>
    <w:tmpl w:val="67662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0C1751"/>
    <w:multiLevelType w:val="multilevel"/>
    <w:tmpl w:val="459E4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193735"/>
    <w:multiLevelType w:val="multilevel"/>
    <w:tmpl w:val="45509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66"/>
    <w:rsid w:val="003E2D66"/>
    <w:rsid w:val="006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55002-2F8B-489F-9F1C-E8CA0E2E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2625</Characters>
  <Application>Microsoft Office Word</Application>
  <DocSecurity>4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Fryer</dc:creator>
  <cp:lastModifiedBy>Emma Fryer</cp:lastModifiedBy>
  <cp:revision>2</cp:revision>
  <dcterms:created xsi:type="dcterms:W3CDTF">2021-07-26T07:59:00Z</dcterms:created>
  <dcterms:modified xsi:type="dcterms:W3CDTF">2021-07-26T07:59:00Z</dcterms:modified>
</cp:coreProperties>
</file>